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CF87B" w14:textId="277D8B87" w:rsidR="00FB374E" w:rsidRDefault="00822E5A" w:rsidP="00FB374E">
      <w:pPr>
        <w:pStyle w:val="TechnicalBlock"/>
        <w:ind w:left="-1134" w:right="-1134"/>
      </w:pPr>
      <w:bookmarkStart w:id="0" w:name="DW_BM_COVERPAGE"/>
      <w:r>
        <w:drawing>
          <wp:inline distT="0" distB="0" distL="0" distR="0" wp14:anchorId="2F075C4C" wp14:editId="0A66DEC9">
            <wp:extent cx="7219950" cy="5267325"/>
            <wp:effectExtent l="0" t="0" r="0" b="9525"/>
            <wp:docPr id="1" name="Pilt 2" descr="Document Cover Page.&#10;Document Number: 8517/24 ADD 1.&#10;Subject Codes: EDUC 114 SOC 253 JEUN 75 DIGIT 102 ENV 388.&#10;Heading: COVER NOTE.&#10;Originator: Secretary-General of the European Commission, signed by Ms Martine DEPREZ, Director.&#10;Recipient: Ms Thérèse BLANCHET, Secretary-General of the Council of the European Union.&#10;Subject: ANNEXES to the Proposal for a Council Recommendation on a European Quality Assurance and Recognition System in Higher Education.&#10;Commission Document Number: COM(2024) 147 final.&#10;Preceeding Document Number: Not Set.&#10;Location: Brussels.&#10;Date: 3 April 2024.&#10;Interinstitutional Files: 2024/0079(NLE).&#10;Institutional Framework: Council of the European Union.&#10;Language: EN.&#10;Distribution Code: PUBLIC.&#10;GUID: 5275846048450637892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 Cover Page.&#10;Document Number: 8517/24 ADD 1.&#10;Subject Codes: EDUC 114 SOC 253 JEUN 75 DIGIT 102 ENV 388.&#10;Heading: COVER NOTE.&#10;Originator: Secretary-General of the European Commission, signed by Ms Martine DEPREZ, Director.&#10;Recipient: Ms Thérèse BLANCHET, Secretary-General of the Council of the European Union.&#10;Subject: ANNEXES to the Proposal for a Council Recommendation on a European Quality Assurance and Recognition System in Higher Education.&#10;Commission Document Number: COM(2024) 147 final.&#10;Preceeding Document Number: Not Set.&#10;Location: Brussels.&#10;Date: 3 April 2024.&#10;Interinstitutional Files: 2024/0079(NLE).&#10;Institutional Framework: Council of the European Union.&#10;Language: EN.&#10;Distribution Code: PUBLIC.&#10;GUID: 5275846048450637892_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5267325"/>
                    </a:xfrm>
                    <a:prstGeom prst="rect">
                      <a:avLst/>
                    </a:prstGeom>
                    <a:noFill/>
                    <a:ln>
                      <a:noFill/>
                    </a:ln>
                  </pic:spPr>
                </pic:pic>
              </a:graphicData>
            </a:graphic>
          </wp:inline>
        </w:drawing>
      </w:r>
      <w:bookmarkEnd w:id="0"/>
    </w:p>
    <w:p w14:paraId="3E7C3045" w14:textId="1BB2AEEF" w:rsidR="00FB374E" w:rsidRDefault="00FB374E" w:rsidP="00FB374E">
      <w:pPr>
        <w:spacing w:before="480"/>
      </w:pPr>
      <w:r w:rsidRPr="00FB374E">
        <w:t xml:space="preserve">Delegations will find attached document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FB374E">
        <w:instrText>COM(2024) 147 final</w:instrText>
      </w:r>
      <w:r>
        <w:instrText xml:space="preserve">" </w:instrText>
      </w:r>
      <w:r>
        <w:fldChar w:fldCharType="separate"/>
      </w:r>
      <w:r w:rsidRPr="00FB374E">
        <w:t>COM(2024) 147 final</w:t>
      </w:r>
      <w:r>
        <w:fldChar w:fldCharType="end"/>
      </w:r>
      <w:r w:rsidRPr="00FB374E">
        <w:t>.</w:t>
      </w:r>
    </w:p>
    <w:p w14:paraId="0650624C" w14:textId="77777777" w:rsidR="00FB374E" w:rsidRDefault="00FB374E" w:rsidP="00FB374E"/>
    <w:p w14:paraId="3F52EEC1" w14:textId="4BDD05D8" w:rsidR="00FB374E" w:rsidRDefault="00FB374E" w:rsidP="00FB374E">
      <w:pPr>
        <w:pStyle w:val="pj"/>
        <w:spacing w:before="120"/>
      </w:pPr>
      <w:r w:rsidRPr="00FB374E">
        <w:t xml:space="preserve">Encl.: </w:t>
      </w:r>
      <w:r>
        <w:fldChar w:fldCharType="begin"/>
      </w:r>
      <w:r>
        <w:instrText xml:space="preserve"> QUOTE "</w:instrText>
      </w:r>
      <w:r>
        <w:fldChar w:fldCharType="begin">
          <w:fldData xml:space="preserve">QwBvAG0AbQBEAG8AYwBzAHwAUwBMAA==
</w:fldData>
        </w:fldChar>
      </w:r>
      <w:r>
        <w:instrText xml:space="preserve"> ADDIN "DocuWrite metadata link" </w:instrText>
      </w:r>
      <w:r>
        <w:fldChar w:fldCharType="end"/>
      </w:r>
      <w:r w:rsidRPr="00FB374E">
        <w:instrText>COM(2024) 147 final</w:instrText>
      </w:r>
      <w:r>
        <w:instrText xml:space="preserve">" </w:instrText>
      </w:r>
      <w:r>
        <w:fldChar w:fldCharType="separate"/>
      </w:r>
      <w:r w:rsidRPr="00FB374E">
        <w:t>COM(2024) 147 final</w:t>
      </w:r>
      <w:r>
        <w:fldChar w:fldCharType="end"/>
      </w:r>
    </w:p>
    <w:p w14:paraId="36AEB0DB" w14:textId="77777777" w:rsidR="00FB374E" w:rsidRDefault="00FB374E" w:rsidP="00FB374E">
      <w:pPr>
        <w:rPr>
          <w:noProof/>
        </w:rPr>
        <w:sectPr w:rsidR="00FB374E" w:rsidSect="00FB374E">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0"/>
          <w:cols w:space="720"/>
          <w:titlePg/>
          <w:docGrid w:linePitch="360"/>
        </w:sectPr>
      </w:pPr>
    </w:p>
    <w:p w14:paraId="25CBBD38" w14:textId="73171E8A" w:rsidR="00A727D0" w:rsidRDefault="00822E5A" w:rsidP="001D0895">
      <w:pPr>
        <w:pStyle w:val="Pagedecouverture"/>
        <w:rPr>
          <w:noProof/>
        </w:rPr>
      </w:pPr>
      <w:r>
        <w:rPr>
          <w:noProof/>
        </w:rPr>
        <w:lastRenderedPageBreak/>
        <w:drawing>
          <wp:inline distT="0" distB="0" distL="0" distR="0" wp14:anchorId="5D4E48BE" wp14:editId="1B42F754">
            <wp:extent cx="5781675" cy="4924425"/>
            <wp:effectExtent l="0" t="0" r="0" b="9525"/>
            <wp:docPr id="2" name="Pilt 1" descr="4CF9B4CF-DBA2-436F-9041-22E64ED678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CF9B4CF-DBA2-436F-9041-22E64ED678C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81675" cy="4924425"/>
                    </a:xfrm>
                    <a:prstGeom prst="rect">
                      <a:avLst/>
                    </a:prstGeom>
                    <a:noFill/>
                    <a:ln>
                      <a:noFill/>
                    </a:ln>
                  </pic:spPr>
                </pic:pic>
              </a:graphicData>
            </a:graphic>
          </wp:inline>
        </w:drawing>
      </w:r>
    </w:p>
    <w:p w14:paraId="1426D667" w14:textId="77777777" w:rsidR="00A727D0" w:rsidRDefault="00A727D0" w:rsidP="00A727D0">
      <w:pPr>
        <w:rPr>
          <w:noProof/>
        </w:rPr>
        <w:sectPr w:rsidR="00A727D0" w:rsidSect="001D0895">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0"/>
          <w:cols w:space="720"/>
          <w:docGrid w:linePitch="360"/>
        </w:sectPr>
      </w:pPr>
    </w:p>
    <w:p w14:paraId="30FBE4B7" w14:textId="77777777" w:rsidR="00A727D0" w:rsidRDefault="6769C078" w:rsidP="00A727D0">
      <w:pPr>
        <w:pStyle w:val="Annexetitre"/>
        <w:rPr>
          <w:rStyle w:val="Marker"/>
          <w:noProof/>
        </w:rPr>
      </w:pPr>
      <w:r>
        <w:rPr>
          <w:noProof/>
        </w:rPr>
        <w:lastRenderedPageBreak/>
        <w:t xml:space="preserve">ANNEX </w:t>
      </w:r>
      <w:r w:rsidR="6C5AAECC">
        <w:rPr>
          <w:noProof/>
        </w:rPr>
        <w:t>I</w:t>
      </w:r>
    </w:p>
    <w:p w14:paraId="4A821C44" w14:textId="77777777" w:rsidR="00A727D0" w:rsidRPr="0079758A" w:rsidRDefault="00E174A7" w:rsidP="00A727D0">
      <w:pPr>
        <w:pStyle w:val="Pealkiri"/>
        <w:rPr>
          <w:rFonts w:ascii="Times New Roman" w:hAnsi="Times New Roman" w:cs="Times New Roman"/>
          <w:noProof/>
          <w:color w:val="auto"/>
          <w:sz w:val="24"/>
          <w:szCs w:val="24"/>
        </w:rPr>
      </w:pPr>
      <w:r w:rsidRPr="0079758A">
        <w:rPr>
          <w:rFonts w:ascii="Times New Roman" w:hAnsi="Times New Roman" w:cs="Times New Roman"/>
          <w:noProof/>
          <w:color w:val="auto"/>
          <w:sz w:val="24"/>
          <w:szCs w:val="24"/>
        </w:rPr>
        <w:t>Building blocks for a c</w:t>
      </w:r>
      <w:r w:rsidR="5C4A5BD8" w:rsidRPr="0079758A">
        <w:rPr>
          <w:rFonts w:ascii="Times New Roman" w:hAnsi="Times New Roman" w:cs="Times New Roman"/>
          <w:noProof/>
          <w:color w:val="auto"/>
          <w:sz w:val="24"/>
          <w:szCs w:val="24"/>
        </w:rPr>
        <w:t xml:space="preserve">ross-Institutional Quality Assurance Framework </w:t>
      </w:r>
      <w:r w:rsidR="1CBB2D31" w:rsidRPr="0079758A">
        <w:rPr>
          <w:rFonts w:ascii="Times New Roman" w:hAnsi="Times New Roman" w:cs="Times New Roman"/>
          <w:noProof/>
          <w:color w:val="auto"/>
          <w:sz w:val="24"/>
          <w:szCs w:val="24"/>
        </w:rPr>
        <w:t xml:space="preserve">for </w:t>
      </w:r>
      <w:r w:rsidR="5C4A5BD8" w:rsidRPr="0079758A">
        <w:rPr>
          <w:rFonts w:ascii="Times New Roman" w:hAnsi="Times New Roman" w:cs="Times New Roman"/>
          <w:noProof/>
          <w:color w:val="auto"/>
          <w:sz w:val="24"/>
          <w:szCs w:val="24"/>
        </w:rPr>
        <w:t>alliances of Higher Education Institutions</w:t>
      </w:r>
    </w:p>
    <w:p w14:paraId="7C834A18" w14:textId="77777777" w:rsidR="00B67870" w:rsidRPr="00C8289F" w:rsidRDefault="00B67870" w:rsidP="00EF0531">
      <w:pPr>
        <w:pStyle w:val="Pealkiri1"/>
        <w:numPr>
          <w:ilvl w:val="0"/>
          <w:numId w:val="13"/>
        </w:numPr>
        <w:spacing w:before="120"/>
        <w:ind w:left="851" w:hanging="851"/>
        <w:rPr>
          <w:noProof/>
        </w:rPr>
      </w:pPr>
      <w:r>
        <w:rPr>
          <w:noProof/>
        </w:rPr>
        <w:t>Introduction</w:t>
      </w:r>
    </w:p>
    <w:p w14:paraId="53BE826A" w14:textId="4B03A714" w:rsidR="00A727D0" w:rsidRPr="00C8289F" w:rsidRDefault="6769C078" w:rsidP="40B22CF1">
      <w:pPr>
        <w:pStyle w:val="Textbody"/>
        <w:jc w:val="both"/>
        <w:rPr>
          <w:rFonts w:ascii="Times New Roman" w:hAnsi="Times New Roman" w:cs="Times New Roman"/>
          <w:noProof/>
          <w:color w:val="auto"/>
          <w:sz w:val="24"/>
        </w:rPr>
      </w:pPr>
      <w:r w:rsidRPr="00C8289F">
        <w:rPr>
          <w:rFonts w:ascii="Times New Roman" w:hAnsi="Times New Roman" w:cs="Times New Roman"/>
          <w:noProof/>
          <w:color w:val="auto"/>
          <w:sz w:val="24"/>
        </w:rPr>
        <w:t>The</w:t>
      </w:r>
      <w:r w:rsidR="00B67870">
        <w:rPr>
          <w:rFonts w:ascii="Times New Roman" w:hAnsi="Times New Roman" w:cs="Times New Roman"/>
          <w:noProof/>
          <w:color w:val="auto"/>
          <w:sz w:val="24"/>
        </w:rPr>
        <w:t xml:space="preserve"> following</w:t>
      </w:r>
      <w:r w:rsidRPr="00C8289F">
        <w:rPr>
          <w:rFonts w:ascii="Times New Roman" w:hAnsi="Times New Roman" w:cs="Times New Roman"/>
          <w:noProof/>
          <w:color w:val="auto"/>
          <w:sz w:val="24"/>
        </w:rPr>
        <w:t xml:space="preserve"> building blocks are formulated to serve as a basis for the development of a full framework for a new cross-institutional quality assurance approach of alliances of higher education institutions. They build on the outcomes of the Erasmus+ funded projects </w:t>
      </w:r>
      <w:r w:rsidRPr="0079758A">
        <w:rPr>
          <w:rFonts w:ascii="Times New Roman" w:eastAsia="Times New Roman Bold" w:hAnsi="Times New Roman" w:cs="Times New Roman"/>
          <w:noProof/>
          <w:sz w:val="24"/>
        </w:rPr>
        <w:t>QA</w:t>
      </w:r>
      <w:r>
        <w:rPr>
          <w:rFonts w:ascii="Times New Roman" w:eastAsia="Times New Roman Bold" w:hAnsi="Times New Roman" w:cs="Times New Roman"/>
          <w:noProof/>
          <w:sz w:val="24"/>
        </w:rPr>
        <w:t>-FIT</w:t>
      </w:r>
      <w:r w:rsidRPr="0079758A">
        <w:rPr>
          <w:rFonts w:ascii="Times New Roman" w:eastAsia="Times New Roman Bold" w:hAnsi="Times New Roman" w:cs="Times New Roman"/>
          <w:noProof/>
          <w:sz w:val="24"/>
        </w:rPr>
        <w:t xml:space="preserve"> and IMINQA.</w:t>
      </w:r>
      <w:r w:rsidR="001D0EBC" w:rsidRPr="0079758A">
        <w:rPr>
          <w:rFonts w:ascii="Times New Roman" w:eastAsia="Times New Roman Bold" w:hAnsi="Times New Roman" w:cs="Times New Roman"/>
          <w:noProof/>
          <w:sz w:val="24"/>
        </w:rPr>
        <w:t xml:space="preserve"> </w:t>
      </w:r>
      <w:r w:rsidR="00B67870" w:rsidRPr="0079758A">
        <w:rPr>
          <w:rFonts w:ascii="Times New Roman" w:hAnsi="Times New Roman" w:cs="Times New Roman"/>
          <w:noProof/>
          <w:color w:val="auto"/>
          <w:sz w:val="24"/>
        </w:rPr>
        <w:t xml:space="preserve">These building blocks were </w:t>
      </w:r>
      <w:r w:rsidR="001D0EBC" w:rsidRPr="0079758A">
        <w:rPr>
          <w:rFonts w:ascii="Times New Roman" w:hAnsi="Times New Roman" w:cs="Times New Roman"/>
          <w:noProof/>
          <w:color w:val="auto"/>
          <w:sz w:val="24"/>
        </w:rPr>
        <w:t xml:space="preserve">developed </w:t>
      </w:r>
      <w:r w:rsidR="00EE73F4" w:rsidRPr="0079758A">
        <w:rPr>
          <w:rFonts w:ascii="Times New Roman" w:hAnsi="Times New Roman" w:cs="Times New Roman"/>
          <w:noProof/>
          <w:color w:val="auto"/>
          <w:sz w:val="24"/>
        </w:rPr>
        <w:t xml:space="preserve">together </w:t>
      </w:r>
      <w:r w:rsidR="001D0EBC" w:rsidRPr="0079758A">
        <w:rPr>
          <w:rFonts w:ascii="Times New Roman" w:hAnsi="Times New Roman" w:cs="Times New Roman"/>
          <w:noProof/>
          <w:color w:val="auto"/>
          <w:sz w:val="24"/>
        </w:rPr>
        <w:t>with quality assurance stakeholders and is not intended to duplicate</w:t>
      </w:r>
      <w:r w:rsidR="001D0EBC" w:rsidRPr="00C8289F">
        <w:rPr>
          <w:rFonts w:ascii="Times New Roman" w:hAnsi="Times New Roman" w:cs="Times New Roman"/>
          <w:noProof/>
          <w:color w:val="auto"/>
          <w:sz w:val="24"/>
        </w:rPr>
        <w:t xml:space="preserve"> any other quality assurance processes. </w:t>
      </w:r>
      <w:r w:rsidR="00B67870">
        <w:rPr>
          <w:rFonts w:ascii="Times New Roman" w:hAnsi="Times New Roman" w:cs="Times New Roman"/>
          <w:noProof/>
          <w:color w:val="auto"/>
          <w:sz w:val="24"/>
        </w:rPr>
        <w:t>They</w:t>
      </w:r>
      <w:r w:rsidR="00B67870" w:rsidRPr="00C8289F">
        <w:rPr>
          <w:rFonts w:ascii="Times New Roman" w:hAnsi="Times New Roman" w:cs="Times New Roman"/>
          <w:noProof/>
          <w:color w:val="auto"/>
          <w:sz w:val="24"/>
        </w:rPr>
        <w:t xml:space="preserve"> </w:t>
      </w:r>
      <w:r w:rsidR="001D0EBC" w:rsidRPr="00C8289F">
        <w:rPr>
          <w:rFonts w:ascii="Times New Roman" w:hAnsi="Times New Roman" w:cs="Times New Roman"/>
          <w:noProof/>
          <w:color w:val="auto"/>
          <w:sz w:val="24"/>
        </w:rPr>
        <w:t xml:space="preserve">will be further co-developed </w:t>
      </w:r>
      <w:r w:rsidR="00EE73F4">
        <w:rPr>
          <w:rFonts w:ascii="Times New Roman" w:hAnsi="Times New Roman" w:cs="Times New Roman"/>
          <w:noProof/>
          <w:color w:val="auto"/>
          <w:sz w:val="24"/>
        </w:rPr>
        <w:t xml:space="preserve">together </w:t>
      </w:r>
      <w:r w:rsidR="00C8758B" w:rsidRPr="00C8289F">
        <w:rPr>
          <w:rFonts w:ascii="Times New Roman" w:hAnsi="Times New Roman" w:cs="Times New Roman"/>
          <w:noProof/>
          <w:color w:val="auto"/>
          <w:sz w:val="24"/>
        </w:rPr>
        <w:t>with</w:t>
      </w:r>
      <w:r w:rsidR="001D0EBC" w:rsidRPr="00C8289F">
        <w:rPr>
          <w:rFonts w:ascii="Times New Roman" w:hAnsi="Times New Roman" w:cs="Times New Roman"/>
          <w:noProof/>
          <w:color w:val="auto"/>
          <w:sz w:val="24"/>
        </w:rPr>
        <w:t xml:space="preserve"> Member States and higher education stakeholders.</w:t>
      </w:r>
      <w:r w:rsidR="00FC26C4" w:rsidRPr="00C8289F">
        <w:rPr>
          <w:rFonts w:ascii="Times New Roman" w:hAnsi="Times New Roman" w:cs="Times New Roman"/>
          <w:noProof/>
          <w:color w:val="auto"/>
          <w:sz w:val="24"/>
        </w:rPr>
        <w:t xml:space="preserve"> </w:t>
      </w:r>
      <w:r w:rsidR="00B67870">
        <w:rPr>
          <w:rFonts w:ascii="Times New Roman" w:hAnsi="Times New Roman" w:cs="Times New Roman"/>
          <w:noProof/>
          <w:color w:val="auto"/>
          <w:sz w:val="24"/>
        </w:rPr>
        <w:t>They</w:t>
      </w:r>
      <w:r w:rsidR="00B67870" w:rsidRPr="00C8289F">
        <w:rPr>
          <w:rFonts w:ascii="Times New Roman" w:hAnsi="Times New Roman" w:cs="Times New Roman"/>
          <w:noProof/>
          <w:color w:val="auto"/>
          <w:sz w:val="24"/>
        </w:rPr>
        <w:t xml:space="preserve"> </w:t>
      </w:r>
      <w:r w:rsidR="00FC26C4" w:rsidRPr="00C8289F">
        <w:rPr>
          <w:rFonts w:ascii="Times New Roman" w:hAnsi="Times New Roman" w:cs="Times New Roman"/>
          <w:noProof/>
          <w:color w:val="auto"/>
          <w:sz w:val="24"/>
        </w:rPr>
        <w:t xml:space="preserve">will serve as a voluntary tool </w:t>
      </w:r>
      <w:r w:rsidR="00C8758B" w:rsidRPr="00C8289F">
        <w:rPr>
          <w:rFonts w:ascii="Times New Roman" w:hAnsi="Times New Roman" w:cs="Times New Roman"/>
          <w:noProof/>
          <w:color w:val="auto"/>
          <w:sz w:val="24"/>
        </w:rPr>
        <w:t>t</w:t>
      </w:r>
      <w:r w:rsidR="00FC26C4" w:rsidRPr="00C8289F">
        <w:rPr>
          <w:rFonts w:ascii="Times New Roman" w:hAnsi="Times New Roman" w:cs="Times New Roman"/>
          <w:noProof/>
          <w:color w:val="auto"/>
          <w:sz w:val="24"/>
        </w:rPr>
        <w:t>hat alliances of higher education institutions may use to ensure the quality and the efficiency of their jointly managed activities.</w:t>
      </w:r>
    </w:p>
    <w:p w14:paraId="4E9DF48C" w14:textId="77777777" w:rsidR="00A727D0" w:rsidRPr="00C8289F" w:rsidRDefault="5C4A5BD8" w:rsidP="008F6D71">
      <w:pPr>
        <w:pStyle w:val="Pealkiri1"/>
        <w:spacing w:before="120"/>
        <w:ind w:left="851" w:hanging="851"/>
        <w:rPr>
          <w:noProof/>
        </w:rPr>
      </w:pPr>
      <w:r w:rsidRPr="00C8289F">
        <w:rPr>
          <w:noProof/>
        </w:rPr>
        <w:t>Purpose</w:t>
      </w:r>
    </w:p>
    <w:p w14:paraId="1CBB891C" w14:textId="77777777" w:rsidR="00A727D0" w:rsidRPr="00C8289F" w:rsidRDefault="685E41DE" w:rsidP="59A29FBA">
      <w:pPr>
        <w:pStyle w:val="Textbody"/>
        <w:jc w:val="both"/>
        <w:rPr>
          <w:rFonts w:ascii="Times New Roman" w:hAnsi="Times New Roman" w:cs="Times New Roman"/>
          <w:noProof/>
          <w:color w:val="auto"/>
          <w:sz w:val="24"/>
        </w:rPr>
      </w:pPr>
      <w:r w:rsidRPr="00C8289F">
        <w:rPr>
          <w:rFonts w:ascii="Times New Roman" w:hAnsi="Times New Roman" w:cs="Times New Roman"/>
          <w:noProof/>
          <w:color w:val="auto"/>
          <w:sz w:val="24"/>
        </w:rPr>
        <w:t>In line with the principles of the Standards and Guidelines for Quality Assurance in the European Higher Education Area (ESG)</w:t>
      </w:r>
      <w:r w:rsidR="00225006" w:rsidRPr="00C8289F">
        <w:rPr>
          <w:rStyle w:val="Allmrkuseviide"/>
          <w:rFonts w:ascii="Times New Roman" w:hAnsi="Times New Roman" w:cs="Times New Roman"/>
          <w:noProof/>
          <w:color w:val="auto"/>
          <w:sz w:val="24"/>
        </w:rPr>
        <w:footnoteReference w:id="2"/>
      </w:r>
      <w:r w:rsidRPr="00C8289F">
        <w:rPr>
          <w:rFonts w:ascii="Times New Roman" w:hAnsi="Times New Roman" w:cs="Times New Roman"/>
          <w:noProof/>
          <w:color w:val="auto"/>
          <w:sz w:val="24"/>
        </w:rPr>
        <w:t xml:space="preserve">, </w:t>
      </w:r>
      <w:r w:rsidR="00225006" w:rsidRPr="00C8289F">
        <w:rPr>
          <w:rFonts w:ascii="Times New Roman" w:hAnsi="Times New Roman" w:cs="Times New Roman"/>
          <w:noProof/>
          <w:color w:val="auto"/>
          <w:sz w:val="24"/>
        </w:rPr>
        <w:t>a</w:t>
      </w:r>
      <w:r w:rsidR="00E31BC1" w:rsidRPr="00C8289F">
        <w:rPr>
          <w:rFonts w:ascii="Times New Roman" w:hAnsi="Times New Roman" w:cs="Times New Roman"/>
          <w:noProof/>
          <w:color w:val="auto"/>
          <w:sz w:val="24"/>
        </w:rPr>
        <w:t xml:space="preserve"> quality assurance</w:t>
      </w:r>
      <w:r w:rsidR="001D0EBC" w:rsidRPr="00C8289F">
        <w:rPr>
          <w:rFonts w:ascii="Times New Roman" w:hAnsi="Times New Roman" w:cs="Times New Roman"/>
          <w:noProof/>
          <w:color w:val="auto"/>
          <w:sz w:val="24"/>
        </w:rPr>
        <w:t xml:space="preserve"> </w:t>
      </w:r>
      <w:r w:rsidR="003E35A5" w:rsidRPr="00C8289F">
        <w:rPr>
          <w:rFonts w:ascii="Times New Roman" w:hAnsi="Times New Roman" w:cs="Times New Roman"/>
          <w:noProof/>
          <w:color w:val="auto"/>
          <w:sz w:val="24"/>
        </w:rPr>
        <w:t>e</w:t>
      </w:r>
      <w:r w:rsidRPr="00C8289F">
        <w:rPr>
          <w:rFonts w:ascii="Times New Roman" w:hAnsi="Times New Roman" w:cs="Times New Roman"/>
          <w:noProof/>
          <w:color w:val="auto"/>
          <w:sz w:val="24"/>
        </w:rPr>
        <w:t>valuation should combine the twin purposes of accountability and enhancement, namely:</w:t>
      </w:r>
    </w:p>
    <w:p w14:paraId="6187C060" w14:textId="78DC55A0" w:rsidR="00A727D0" w:rsidRPr="00C8289F" w:rsidRDefault="5C4A5BD8" w:rsidP="008F6D71">
      <w:pPr>
        <w:pStyle w:val="Textbody"/>
        <w:numPr>
          <w:ilvl w:val="0"/>
          <w:numId w:val="3"/>
        </w:numPr>
        <w:spacing w:after="0"/>
        <w:ind w:left="714" w:hanging="357"/>
        <w:jc w:val="both"/>
        <w:rPr>
          <w:rFonts w:ascii="Times New Roman" w:hAnsi="Times New Roman" w:cs="Times New Roman"/>
          <w:noProof/>
          <w:color w:val="auto"/>
          <w:sz w:val="24"/>
        </w:rPr>
      </w:pPr>
      <w:r w:rsidRPr="00C8289F">
        <w:rPr>
          <w:rFonts w:ascii="Times New Roman" w:hAnsi="Times New Roman" w:cs="Times New Roman"/>
          <w:noProof/>
          <w:color w:val="auto"/>
          <w:sz w:val="24"/>
        </w:rPr>
        <w:t>contribute to the Alliance's quality enhancement and support the Alliance in achieving its objectives</w:t>
      </w:r>
      <w:r w:rsidR="00532952">
        <w:rPr>
          <w:rFonts w:ascii="Times New Roman" w:hAnsi="Times New Roman" w:cs="Times New Roman"/>
          <w:noProof/>
          <w:color w:val="auto"/>
          <w:sz w:val="24"/>
        </w:rPr>
        <w:t>; and</w:t>
      </w:r>
    </w:p>
    <w:p w14:paraId="2FEC0E79" w14:textId="475C9AEA" w:rsidR="00A727D0" w:rsidRPr="00C8289F" w:rsidRDefault="685E41DE" w:rsidP="00716B4B">
      <w:pPr>
        <w:pStyle w:val="Textbody"/>
        <w:numPr>
          <w:ilvl w:val="0"/>
          <w:numId w:val="3"/>
        </w:numPr>
        <w:jc w:val="both"/>
        <w:rPr>
          <w:rFonts w:ascii="Times New Roman" w:hAnsi="Times New Roman" w:cs="Times New Roman"/>
          <w:noProof/>
          <w:color w:val="auto"/>
          <w:sz w:val="24"/>
        </w:rPr>
      </w:pPr>
      <w:r w:rsidRPr="00C8289F">
        <w:rPr>
          <w:rFonts w:ascii="Times New Roman" w:hAnsi="Times New Roman" w:cs="Times New Roman"/>
          <w:noProof/>
          <w:color w:val="auto"/>
          <w:sz w:val="24"/>
        </w:rPr>
        <w:t xml:space="preserve">allow the Alliance to demonstrate </w:t>
      </w:r>
      <w:r w:rsidR="00E31BC1" w:rsidRPr="00C8289F">
        <w:rPr>
          <w:rFonts w:ascii="Times New Roman" w:hAnsi="Times New Roman" w:cs="Times New Roman"/>
          <w:noProof/>
          <w:color w:val="auto"/>
          <w:sz w:val="24"/>
        </w:rPr>
        <w:t>the quality of its</w:t>
      </w:r>
      <w:r w:rsidR="001D0EBC" w:rsidRPr="00C8289F">
        <w:rPr>
          <w:rFonts w:ascii="Times New Roman" w:hAnsi="Times New Roman" w:cs="Times New Roman"/>
          <w:noProof/>
          <w:color w:val="auto"/>
          <w:sz w:val="24"/>
        </w:rPr>
        <w:t xml:space="preserve"> </w:t>
      </w:r>
      <w:r w:rsidR="16B76560" w:rsidRPr="00C8289F">
        <w:rPr>
          <w:rFonts w:ascii="Times New Roman" w:hAnsi="Times New Roman" w:cs="Times New Roman"/>
          <w:noProof/>
          <w:color w:val="auto"/>
          <w:sz w:val="24"/>
        </w:rPr>
        <w:t>jointly managed activities</w:t>
      </w:r>
      <w:r w:rsidRPr="00C8289F">
        <w:rPr>
          <w:rFonts w:ascii="Times New Roman" w:hAnsi="Times New Roman" w:cs="Times New Roman"/>
          <w:noProof/>
          <w:color w:val="auto"/>
          <w:sz w:val="24"/>
        </w:rPr>
        <w:t>.</w:t>
      </w:r>
    </w:p>
    <w:p w14:paraId="0DF40B81" w14:textId="77777777" w:rsidR="00A727D0" w:rsidRPr="00C8289F" w:rsidRDefault="00A727D0" w:rsidP="00A727D0">
      <w:pPr>
        <w:pStyle w:val="Textbody"/>
        <w:jc w:val="both"/>
        <w:rPr>
          <w:rFonts w:ascii="Times New Roman" w:hAnsi="Times New Roman" w:cs="Times New Roman"/>
          <w:noProof/>
          <w:color w:val="auto"/>
          <w:sz w:val="24"/>
        </w:rPr>
      </w:pPr>
      <w:r w:rsidRPr="00C8289F">
        <w:rPr>
          <w:rFonts w:ascii="Times New Roman" w:hAnsi="Times New Roman" w:cs="Times New Roman"/>
          <w:noProof/>
          <w:color w:val="auto"/>
          <w:sz w:val="24"/>
        </w:rPr>
        <w:t xml:space="preserve">As a result, the </w:t>
      </w:r>
      <w:r w:rsidR="003E35A5" w:rsidRPr="00C8289F">
        <w:rPr>
          <w:rFonts w:ascii="Times New Roman" w:hAnsi="Times New Roman" w:cs="Times New Roman"/>
          <w:noProof/>
          <w:color w:val="auto"/>
          <w:sz w:val="24"/>
        </w:rPr>
        <w:t>e</w:t>
      </w:r>
      <w:r w:rsidRPr="00C8289F">
        <w:rPr>
          <w:rFonts w:ascii="Times New Roman" w:hAnsi="Times New Roman" w:cs="Times New Roman"/>
          <w:noProof/>
          <w:color w:val="auto"/>
          <w:sz w:val="24"/>
        </w:rPr>
        <w:t>valuation</w:t>
      </w:r>
      <w:r w:rsidR="0026395A" w:rsidRPr="00C8289F">
        <w:rPr>
          <w:rFonts w:ascii="Times New Roman" w:hAnsi="Times New Roman" w:cs="Times New Roman"/>
          <w:noProof/>
          <w:color w:val="auto"/>
          <w:sz w:val="24"/>
        </w:rPr>
        <w:t>, to be carried out by a quality assurance agency selected by the Alliance,</w:t>
      </w:r>
      <w:r w:rsidRPr="00C8289F">
        <w:rPr>
          <w:rFonts w:ascii="Times New Roman" w:hAnsi="Times New Roman" w:cs="Times New Roman"/>
          <w:noProof/>
          <w:color w:val="auto"/>
          <w:sz w:val="24"/>
        </w:rPr>
        <w:t xml:space="preserve"> should:</w:t>
      </w:r>
    </w:p>
    <w:p w14:paraId="666A1BA4" w14:textId="49A6B2FE" w:rsidR="00A727D0" w:rsidRPr="00C8289F" w:rsidRDefault="685E41DE" w:rsidP="008F6D71">
      <w:pPr>
        <w:pStyle w:val="Textbody"/>
        <w:numPr>
          <w:ilvl w:val="0"/>
          <w:numId w:val="2"/>
        </w:numPr>
        <w:spacing w:after="0"/>
        <w:ind w:left="714" w:hanging="357"/>
        <w:jc w:val="both"/>
        <w:rPr>
          <w:rFonts w:ascii="Times New Roman" w:hAnsi="Times New Roman" w:cs="Times New Roman"/>
          <w:noProof/>
          <w:color w:val="auto"/>
          <w:sz w:val="24"/>
        </w:rPr>
      </w:pPr>
      <w:r w:rsidRPr="00C8289F">
        <w:rPr>
          <w:rFonts w:ascii="Times New Roman" w:hAnsi="Times New Roman" w:cs="Times New Roman"/>
          <w:noProof/>
          <w:color w:val="auto"/>
          <w:sz w:val="24"/>
        </w:rPr>
        <w:t>acknowledge that the cooperation of higher education institutions is an Alliance</w:t>
      </w:r>
      <w:r w:rsidR="003D113E" w:rsidRPr="00C8289F">
        <w:rPr>
          <w:rFonts w:ascii="Times New Roman" w:hAnsi="Times New Roman" w:cs="Times New Roman"/>
          <w:noProof/>
          <w:color w:val="auto"/>
          <w:sz w:val="24"/>
        </w:rPr>
        <w:t>,</w:t>
      </w:r>
      <w:r w:rsidRPr="00C8289F">
        <w:rPr>
          <w:rFonts w:ascii="Times New Roman" w:hAnsi="Times New Roman" w:cs="Times New Roman"/>
          <w:noProof/>
          <w:color w:val="auto"/>
          <w:sz w:val="24"/>
        </w:rPr>
        <w:t xml:space="preserve"> </w:t>
      </w:r>
      <w:r w:rsidR="00B67870">
        <w:rPr>
          <w:rFonts w:ascii="Times New Roman" w:hAnsi="Times New Roman" w:cs="Times New Roman"/>
          <w:noProof/>
          <w:color w:val="auto"/>
          <w:sz w:val="24"/>
        </w:rPr>
        <w:t>within the meaning of</w:t>
      </w:r>
      <w:r w:rsidR="0079758A">
        <w:rPr>
          <w:rFonts w:ascii="Times New Roman" w:hAnsi="Times New Roman" w:cs="Times New Roman"/>
          <w:noProof/>
          <w:color w:val="auto"/>
          <w:sz w:val="24"/>
        </w:rPr>
        <w:t xml:space="preserve"> </w:t>
      </w:r>
      <w:r w:rsidR="2ABCBD6A" w:rsidRPr="00C8289F">
        <w:rPr>
          <w:rFonts w:ascii="Times New Roman" w:hAnsi="Times New Roman" w:cs="Times New Roman"/>
          <w:noProof/>
          <w:color w:val="auto"/>
          <w:sz w:val="24"/>
        </w:rPr>
        <w:t>this Recommendation</w:t>
      </w:r>
      <w:r w:rsidR="276B975A" w:rsidRPr="00C8289F">
        <w:rPr>
          <w:rFonts w:ascii="Times New Roman" w:hAnsi="Times New Roman" w:cs="Times New Roman"/>
          <w:noProof/>
          <w:color w:val="auto"/>
          <w:sz w:val="24"/>
        </w:rPr>
        <w:t>;</w:t>
      </w:r>
    </w:p>
    <w:p w14:paraId="0FB3633C" w14:textId="17277915" w:rsidR="00A727D0" w:rsidRPr="001513D5" w:rsidRDefault="685E41DE" w:rsidP="008F6D71">
      <w:pPr>
        <w:pStyle w:val="Textbody"/>
        <w:numPr>
          <w:ilvl w:val="0"/>
          <w:numId w:val="2"/>
        </w:numPr>
        <w:spacing w:after="0"/>
        <w:ind w:left="714" w:hanging="357"/>
        <w:jc w:val="both"/>
        <w:rPr>
          <w:rFonts w:ascii="Times New Roman" w:hAnsi="Times New Roman" w:cs="Times New Roman"/>
          <w:noProof/>
          <w:color w:val="auto"/>
          <w:sz w:val="24"/>
        </w:rPr>
      </w:pPr>
      <w:r w:rsidRPr="00C8289F">
        <w:rPr>
          <w:rFonts w:ascii="Times New Roman" w:hAnsi="Times New Roman" w:cs="Times New Roman"/>
          <w:noProof/>
          <w:color w:val="auto"/>
          <w:sz w:val="24"/>
        </w:rPr>
        <w:t xml:space="preserve">lead to </w:t>
      </w:r>
      <w:r w:rsidR="66107C8B" w:rsidRPr="00C8289F">
        <w:rPr>
          <w:rFonts w:ascii="Times New Roman" w:hAnsi="Times New Roman" w:cs="Times New Roman"/>
          <w:noProof/>
          <w:color w:val="auto"/>
          <w:sz w:val="24"/>
        </w:rPr>
        <w:t>a re</w:t>
      </w:r>
      <w:r w:rsidR="00C425F3" w:rsidRPr="00C8289F">
        <w:rPr>
          <w:rFonts w:ascii="Times New Roman" w:hAnsi="Times New Roman" w:cs="Times New Roman"/>
          <w:noProof/>
          <w:color w:val="auto"/>
          <w:sz w:val="24"/>
        </w:rPr>
        <w:t>d</w:t>
      </w:r>
      <w:r w:rsidR="66107C8B" w:rsidRPr="00C8289F">
        <w:rPr>
          <w:rFonts w:ascii="Times New Roman" w:hAnsi="Times New Roman" w:cs="Times New Roman"/>
          <w:noProof/>
          <w:color w:val="auto"/>
          <w:sz w:val="24"/>
        </w:rPr>
        <w:t>u</w:t>
      </w:r>
      <w:r w:rsidR="00C425F3" w:rsidRPr="00C8289F">
        <w:rPr>
          <w:rFonts w:ascii="Times New Roman" w:hAnsi="Times New Roman" w:cs="Times New Roman"/>
          <w:noProof/>
          <w:color w:val="auto"/>
          <w:sz w:val="24"/>
        </w:rPr>
        <w:t>c</w:t>
      </w:r>
      <w:r w:rsidR="66107C8B" w:rsidRPr="00C8289F">
        <w:rPr>
          <w:rFonts w:ascii="Times New Roman" w:hAnsi="Times New Roman" w:cs="Times New Roman"/>
          <w:noProof/>
          <w:color w:val="auto"/>
          <w:sz w:val="24"/>
        </w:rPr>
        <w:t xml:space="preserve">tion in </w:t>
      </w:r>
      <w:r w:rsidRPr="00C8289F">
        <w:rPr>
          <w:rFonts w:ascii="Times New Roman" w:hAnsi="Times New Roman" w:cs="Times New Roman"/>
          <w:noProof/>
          <w:color w:val="auto"/>
          <w:sz w:val="24"/>
        </w:rPr>
        <w:t>the administrative burden for the Alliance by enabling jointly managed activities to be externally quality</w:t>
      </w:r>
      <w:r w:rsidRPr="59A29FBA">
        <w:rPr>
          <w:rFonts w:ascii="Times New Roman" w:hAnsi="Times New Roman" w:cs="Times New Roman"/>
          <w:noProof/>
          <w:color w:val="auto"/>
          <w:sz w:val="24"/>
        </w:rPr>
        <w:t xml:space="preserve"> assured jointly </w:t>
      </w:r>
      <w:r w:rsidRPr="59A29FBA">
        <w:rPr>
          <w:rFonts w:ascii="Times New Roman" w:hAnsi="Times New Roman" w:cs="Times New Roman"/>
          <w:noProof/>
          <w:color w:val="auto"/>
          <w:sz w:val="24"/>
          <w:u w:val="single"/>
        </w:rPr>
        <w:t xml:space="preserve">once during a </w:t>
      </w:r>
      <w:r w:rsidR="001D0EBC">
        <w:rPr>
          <w:rFonts w:ascii="Times New Roman" w:hAnsi="Times New Roman" w:cs="Times New Roman"/>
          <w:noProof/>
          <w:color w:val="auto"/>
          <w:sz w:val="24"/>
          <w:u w:val="single"/>
        </w:rPr>
        <w:t xml:space="preserve">set </w:t>
      </w:r>
      <w:r w:rsidRPr="59A29FBA">
        <w:rPr>
          <w:rFonts w:ascii="Times New Roman" w:hAnsi="Times New Roman" w:cs="Times New Roman"/>
          <w:noProof/>
          <w:color w:val="auto"/>
          <w:sz w:val="24"/>
          <w:u w:val="single"/>
        </w:rPr>
        <w:t>period of validity</w:t>
      </w:r>
      <w:r w:rsidRPr="59A29FBA">
        <w:rPr>
          <w:rFonts w:ascii="Times New Roman" w:hAnsi="Times New Roman" w:cs="Times New Roman"/>
          <w:noProof/>
          <w:color w:val="auto"/>
          <w:sz w:val="24"/>
        </w:rPr>
        <w:t>, instead of being subject to multiple national external quality assurance systems</w:t>
      </w:r>
      <w:r w:rsidR="187E2390" w:rsidRPr="59A29FBA">
        <w:rPr>
          <w:rFonts w:ascii="Times New Roman" w:hAnsi="Times New Roman" w:cs="Times New Roman"/>
          <w:noProof/>
          <w:color w:val="auto"/>
          <w:sz w:val="24"/>
        </w:rPr>
        <w:t>;</w:t>
      </w:r>
      <w:r w:rsidR="00532952">
        <w:rPr>
          <w:rFonts w:ascii="Times New Roman" w:hAnsi="Times New Roman" w:cs="Times New Roman"/>
          <w:noProof/>
          <w:color w:val="auto"/>
          <w:sz w:val="24"/>
        </w:rPr>
        <w:t xml:space="preserve"> and</w:t>
      </w:r>
    </w:p>
    <w:p w14:paraId="6FF2A38D" w14:textId="77777777" w:rsidR="00A727D0" w:rsidRPr="001513D5" w:rsidRDefault="5C4A5BD8" w:rsidP="00716B4B">
      <w:pPr>
        <w:pStyle w:val="Textbody"/>
        <w:numPr>
          <w:ilvl w:val="0"/>
          <w:numId w:val="2"/>
        </w:numPr>
        <w:jc w:val="both"/>
        <w:rPr>
          <w:rFonts w:ascii="Times New Roman" w:hAnsi="Times New Roman" w:cs="Times New Roman"/>
          <w:noProof/>
          <w:color w:val="auto"/>
          <w:sz w:val="24"/>
        </w:rPr>
      </w:pPr>
      <w:r w:rsidRPr="59A29FBA">
        <w:rPr>
          <w:rFonts w:ascii="Times New Roman" w:hAnsi="Times New Roman" w:cs="Times New Roman"/>
          <w:noProof/>
          <w:color w:val="auto"/>
          <w:sz w:val="24"/>
        </w:rPr>
        <w:t xml:space="preserve">facilitate the quality assurance of joint educational </w:t>
      </w:r>
      <w:r w:rsidR="0026395A">
        <w:rPr>
          <w:rFonts w:ascii="Times New Roman" w:hAnsi="Times New Roman" w:cs="Times New Roman"/>
          <w:noProof/>
          <w:color w:val="auto"/>
          <w:sz w:val="24"/>
        </w:rPr>
        <w:t>provision</w:t>
      </w:r>
      <w:r w:rsidR="0026395A" w:rsidRPr="59A29FBA">
        <w:rPr>
          <w:rFonts w:ascii="Times New Roman" w:hAnsi="Times New Roman" w:cs="Times New Roman"/>
          <w:noProof/>
          <w:color w:val="auto"/>
          <w:sz w:val="24"/>
        </w:rPr>
        <w:t xml:space="preserve"> </w:t>
      </w:r>
      <w:r w:rsidRPr="59A29FBA">
        <w:rPr>
          <w:rFonts w:ascii="Times New Roman" w:hAnsi="Times New Roman" w:cs="Times New Roman"/>
          <w:noProof/>
          <w:color w:val="auto"/>
          <w:sz w:val="24"/>
        </w:rPr>
        <w:t xml:space="preserve">by Alliances, </w:t>
      </w:r>
      <w:r w:rsidR="06BE09F3" w:rsidRPr="59A29FBA">
        <w:rPr>
          <w:rFonts w:ascii="Times New Roman" w:hAnsi="Times New Roman" w:cs="Times New Roman"/>
          <w:noProof/>
          <w:color w:val="auto"/>
          <w:sz w:val="24"/>
        </w:rPr>
        <w:t>for example,</w:t>
      </w:r>
      <w:r w:rsidRPr="59A29FBA">
        <w:rPr>
          <w:rFonts w:ascii="Times New Roman" w:hAnsi="Times New Roman" w:cs="Times New Roman"/>
          <w:noProof/>
          <w:color w:val="auto"/>
          <w:sz w:val="24"/>
        </w:rPr>
        <w:t xml:space="preserve"> joint programmes or micro-credentials.</w:t>
      </w:r>
    </w:p>
    <w:p w14:paraId="4A793F40" w14:textId="77777777" w:rsidR="00A727D0" w:rsidRPr="001513D5" w:rsidRDefault="00A727D0" w:rsidP="008F6D71">
      <w:pPr>
        <w:pStyle w:val="Pealkiri1"/>
        <w:spacing w:before="120"/>
        <w:ind w:left="851" w:hanging="851"/>
        <w:rPr>
          <w:noProof/>
        </w:rPr>
      </w:pPr>
      <w:r w:rsidRPr="001513D5">
        <w:rPr>
          <w:noProof/>
        </w:rPr>
        <w:t>Principles</w:t>
      </w:r>
    </w:p>
    <w:p w14:paraId="287C4ACD" w14:textId="77777777" w:rsidR="00A727D0" w:rsidRPr="001513D5" w:rsidRDefault="6769C078" w:rsidP="40B22CF1">
      <w:pPr>
        <w:pStyle w:val="Textbody"/>
        <w:jc w:val="both"/>
        <w:rPr>
          <w:rFonts w:ascii="Times New Roman" w:hAnsi="Times New Roman" w:cs="Times New Roman"/>
          <w:noProof/>
          <w:color w:val="auto"/>
          <w:sz w:val="24"/>
        </w:rPr>
      </w:pPr>
      <w:r w:rsidRPr="40B22CF1">
        <w:rPr>
          <w:rFonts w:ascii="Times New Roman" w:hAnsi="Times New Roman" w:cs="Times New Roman"/>
          <w:noProof/>
          <w:color w:val="auto"/>
          <w:sz w:val="24"/>
        </w:rPr>
        <w:t>The evaluation methodology</w:t>
      </w:r>
      <w:r w:rsidR="00C10239">
        <w:rPr>
          <w:rFonts w:ascii="Times New Roman" w:hAnsi="Times New Roman" w:cs="Times New Roman"/>
          <w:noProof/>
          <w:color w:val="auto"/>
          <w:sz w:val="24"/>
        </w:rPr>
        <w:t xml:space="preserve"> developed by quality assurance agencies</w:t>
      </w:r>
      <w:r w:rsidRPr="40B22CF1">
        <w:rPr>
          <w:rFonts w:ascii="Times New Roman" w:hAnsi="Times New Roman" w:cs="Times New Roman"/>
          <w:noProof/>
          <w:color w:val="auto"/>
          <w:sz w:val="24"/>
        </w:rPr>
        <w:t xml:space="preserve"> should:</w:t>
      </w:r>
    </w:p>
    <w:p w14:paraId="434E5810" w14:textId="77777777" w:rsidR="00A727D0" w:rsidRPr="001513D5" w:rsidRDefault="5C4A5BD8" w:rsidP="008F6D71">
      <w:pPr>
        <w:pStyle w:val="Textbody"/>
        <w:numPr>
          <w:ilvl w:val="0"/>
          <w:numId w:val="1"/>
        </w:numPr>
        <w:spacing w:after="0"/>
        <w:ind w:left="714" w:hanging="357"/>
        <w:jc w:val="both"/>
        <w:rPr>
          <w:rFonts w:ascii="Times New Roman" w:hAnsi="Times New Roman" w:cs="Times New Roman"/>
          <w:noProof/>
          <w:color w:val="auto"/>
          <w:sz w:val="24"/>
        </w:rPr>
      </w:pPr>
      <w:r w:rsidRPr="59A29FBA">
        <w:rPr>
          <w:rFonts w:ascii="Times New Roman" w:hAnsi="Times New Roman" w:cs="Times New Roman"/>
          <w:noProof/>
          <w:color w:val="auto"/>
          <w:sz w:val="24"/>
        </w:rPr>
        <w:t>reflect the autonomy and diversity of Alliances</w:t>
      </w:r>
      <w:r w:rsidR="62E44DE6" w:rsidRPr="59A29FBA">
        <w:rPr>
          <w:rFonts w:ascii="Times New Roman" w:hAnsi="Times New Roman" w:cs="Times New Roman"/>
          <w:noProof/>
          <w:color w:val="auto"/>
          <w:sz w:val="24"/>
        </w:rPr>
        <w:t>;</w:t>
      </w:r>
    </w:p>
    <w:p w14:paraId="2F95437E" w14:textId="77777777" w:rsidR="00A727D0" w:rsidRPr="001513D5" w:rsidRDefault="5C4A5BD8" w:rsidP="008F6D71">
      <w:pPr>
        <w:pStyle w:val="Textbody"/>
        <w:numPr>
          <w:ilvl w:val="0"/>
          <w:numId w:val="1"/>
        </w:numPr>
        <w:spacing w:after="0"/>
        <w:ind w:left="714" w:hanging="357"/>
        <w:jc w:val="both"/>
        <w:rPr>
          <w:rFonts w:ascii="Times New Roman" w:hAnsi="Times New Roman" w:cs="Times New Roman"/>
          <w:noProof/>
          <w:color w:val="auto"/>
          <w:sz w:val="24"/>
        </w:rPr>
      </w:pPr>
      <w:r w:rsidRPr="59A29FBA">
        <w:rPr>
          <w:rFonts w:ascii="Times New Roman" w:hAnsi="Times New Roman" w:cs="Times New Roman"/>
          <w:noProof/>
          <w:color w:val="auto"/>
          <w:sz w:val="24"/>
        </w:rPr>
        <w:t>encourage an Alliance to establish a joint internal quality assurance system covering all its joint education provision</w:t>
      </w:r>
      <w:r w:rsidR="68C6B228" w:rsidRPr="59A29FBA">
        <w:rPr>
          <w:rFonts w:ascii="Times New Roman" w:hAnsi="Times New Roman" w:cs="Times New Roman"/>
          <w:noProof/>
          <w:color w:val="auto"/>
          <w:sz w:val="24"/>
        </w:rPr>
        <w:t>;</w:t>
      </w:r>
    </w:p>
    <w:p w14:paraId="0C4AFEE9" w14:textId="7A187EBC" w:rsidR="00A727D0" w:rsidRPr="001513D5" w:rsidRDefault="5C4A5BD8" w:rsidP="008F6D71">
      <w:pPr>
        <w:pStyle w:val="Textbody"/>
        <w:numPr>
          <w:ilvl w:val="0"/>
          <w:numId w:val="1"/>
        </w:numPr>
        <w:spacing w:after="0"/>
        <w:ind w:left="714" w:hanging="357"/>
        <w:jc w:val="both"/>
        <w:rPr>
          <w:rFonts w:ascii="Times New Roman" w:hAnsi="Times New Roman" w:cs="Times New Roman"/>
          <w:noProof/>
          <w:color w:val="auto"/>
          <w:sz w:val="24"/>
        </w:rPr>
      </w:pPr>
      <w:r w:rsidRPr="59A29FBA">
        <w:rPr>
          <w:rFonts w:ascii="Times New Roman" w:hAnsi="Times New Roman" w:cs="Times New Roman"/>
          <w:noProof/>
          <w:color w:val="auto"/>
          <w:sz w:val="24"/>
        </w:rPr>
        <w:t>follow a once-only principle: the joint educational</w:t>
      </w:r>
      <w:r w:rsidR="373271C0" w:rsidRPr="59A29FBA">
        <w:rPr>
          <w:rFonts w:ascii="Times New Roman" w:hAnsi="Times New Roman" w:cs="Times New Roman"/>
          <w:noProof/>
          <w:color w:val="auto"/>
          <w:sz w:val="24"/>
        </w:rPr>
        <w:t xml:space="preserve"> </w:t>
      </w:r>
      <w:r w:rsidR="00C10239">
        <w:rPr>
          <w:rFonts w:ascii="Times New Roman" w:hAnsi="Times New Roman" w:cs="Times New Roman"/>
          <w:noProof/>
          <w:color w:val="auto"/>
          <w:sz w:val="24"/>
        </w:rPr>
        <w:t>provision</w:t>
      </w:r>
      <w:r w:rsidR="00C10239" w:rsidRPr="59A29FBA">
        <w:rPr>
          <w:rFonts w:ascii="Times New Roman" w:hAnsi="Times New Roman" w:cs="Times New Roman"/>
          <w:noProof/>
          <w:color w:val="auto"/>
          <w:sz w:val="24"/>
        </w:rPr>
        <w:t xml:space="preserve"> </w:t>
      </w:r>
      <w:r w:rsidR="7F578AB2" w:rsidRPr="59A29FBA">
        <w:rPr>
          <w:rFonts w:ascii="Times New Roman" w:hAnsi="Times New Roman" w:cs="Times New Roman"/>
          <w:noProof/>
          <w:color w:val="auto"/>
          <w:sz w:val="24"/>
        </w:rPr>
        <w:t xml:space="preserve">should </w:t>
      </w:r>
      <w:r w:rsidRPr="59A29FBA">
        <w:rPr>
          <w:rFonts w:ascii="Times New Roman" w:hAnsi="Times New Roman" w:cs="Times New Roman"/>
          <w:noProof/>
          <w:color w:val="auto"/>
          <w:sz w:val="24"/>
        </w:rPr>
        <w:t>be externally quality-assured only once within the same period of validity</w:t>
      </w:r>
      <w:r w:rsidR="00811263">
        <w:rPr>
          <w:rFonts w:ascii="Times New Roman" w:hAnsi="Times New Roman" w:cs="Times New Roman"/>
          <w:noProof/>
          <w:color w:val="auto"/>
          <w:sz w:val="24"/>
        </w:rPr>
        <w:t>;</w:t>
      </w:r>
      <w:r>
        <w:rPr>
          <w:rFonts w:ascii="Times New Roman" w:hAnsi="Times New Roman" w:cs="Times New Roman"/>
          <w:noProof/>
          <w:color w:val="auto"/>
          <w:sz w:val="24"/>
        </w:rPr>
        <w:t xml:space="preserve"> and</w:t>
      </w:r>
    </w:p>
    <w:p w14:paraId="3421E4B9" w14:textId="662D96E9" w:rsidR="00A727D0" w:rsidRPr="001513D5" w:rsidRDefault="685E41DE" w:rsidP="00FC26C4">
      <w:pPr>
        <w:pStyle w:val="Textbody"/>
        <w:numPr>
          <w:ilvl w:val="0"/>
          <w:numId w:val="1"/>
        </w:numPr>
        <w:jc w:val="both"/>
        <w:rPr>
          <w:rFonts w:ascii="Times New Roman" w:hAnsi="Times New Roman" w:cs="Times New Roman"/>
          <w:noProof/>
          <w:color w:val="auto"/>
          <w:sz w:val="24"/>
        </w:rPr>
      </w:pPr>
      <w:r w:rsidRPr="59A29FBA">
        <w:rPr>
          <w:rFonts w:ascii="Times New Roman" w:hAnsi="Times New Roman" w:cs="Times New Roman"/>
          <w:noProof/>
          <w:color w:val="auto"/>
          <w:sz w:val="24"/>
        </w:rPr>
        <w:lastRenderedPageBreak/>
        <w:t xml:space="preserve">integrate all relevant parts of the ESG, the European Approach </w:t>
      </w:r>
      <w:bookmarkStart w:id="2" w:name="_Hlk161065911"/>
      <w:r w:rsidRPr="59A29FBA">
        <w:rPr>
          <w:rFonts w:ascii="Times New Roman" w:hAnsi="Times New Roman" w:cs="Times New Roman"/>
          <w:noProof/>
          <w:color w:val="auto"/>
          <w:sz w:val="24"/>
        </w:rPr>
        <w:t>to Quality Assurance</w:t>
      </w:r>
      <w:r w:rsidR="007514B0">
        <w:rPr>
          <w:rFonts w:ascii="Times New Roman" w:hAnsi="Times New Roman" w:cs="Times New Roman"/>
          <w:noProof/>
          <w:color w:val="auto"/>
          <w:sz w:val="24"/>
        </w:rPr>
        <w:t xml:space="preserve"> </w:t>
      </w:r>
      <w:r w:rsidRPr="59A29FBA">
        <w:rPr>
          <w:rFonts w:ascii="Times New Roman" w:hAnsi="Times New Roman" w:cs="Times New Roman"/>
          <w:noProof/>
          <w:color w:val="auto"/>
          <w:sz w:val="24"/>
        </w:rPr>
        <w:t>of Joint Programmes</w:t>
      </w:r>
      <w:bookmarkEnd w:id="2"/>
      <w:r w:rsidRPr="59A29FBA">
        <w:rPr>
          <w:rFonts w:ascii="Times New Roman" w:hAnsi="Times New Roman" w:cs="Times New Roman"/>
          <w:noProof/>
          <w:color w:val="auto"/>
          <w:sz w:val="24"/>
        </w:rPr>
        <w:t xml:space="preserve"> and</w:t>
      </w:r>
      <w:r w:rsidR="00FB6287">
        <w:rPr>
          <w:rFonts w:ascii="Times New Roman" w:hAnsi="Times New Roman" w:cs="Times New Roman"/>
          <w:noProof/>
          <w:color w:val="auto"/>
          <w:sz w:val="24"/>
        </w:rPr>
        <w:t>,</w:t>
      </w:r>
      <w:r w:rsidRPr="59A29FBA">
        <w:rPr>
          <w:rFonts w:ascii="Times New Roman" w:hAnsi="Times New Roman" w:cs="Times New Roman"/>
          <w:noProof/>
          <w:color w:val="auto"/>
          <w:sz w:val="24"/>
        </w:rPr>
        <w:t xml:space="preserve"> </w:t>
      </w:r>
      <w:r w:rsidR="00FB6287">
        <w:rPr>
          <w:rFonts w:ascii="Times New Roman" w:hAnsi="Times New Roman" w:cs="Times New Roman"/>
          <w:noProof/>
          <w:color w:val="auto"/>
          <w:sz w:val="24"/>
        </w:rPr>
        <w:t xml:space="preserve">where relevant, </w:t>
      </w:r>
      <w:r w:rsidRPr="59A29FBA">
        <w:rPr>
          <w:rFonts w:ascii="Times New Roman" w:hAnsi="Times New Roman" w:cs="Times New Roman"/>
          <w:noProof/>
          <w:color w:val="auto"/>
          <w:sz w:val="24"/>
        </w:rPr>
        <w:t>the European criteria for a European</w:t>
      </w:r>
      <w:r w:rsidR="012D56CC" w:rsidRPr="59A29FBA">
        <w:rPr>
          <w:rFonts w:ascii="Times New Roman" w:hAnsi="Times New Roman" w:cs="Times New Roman"/>
          <w:noProof/>
          <w:color w:val="auto"/>
          <w:sz w:val="24"/>
        </w:rPr>
        <w:t xml:space="preserve"> </w:t>
      </w:r>
      <w:r w:rsidRPr="59A29FBA">
        <w:rPr>
          <w:rFonts w:ascii="Times New Roman" w:hAnsi="Times New Roman" w:cs="Times New Roman"/>
          <w:noProof/>
          <w:color w:val="auto"/>
          <w:sz w:val="24"/>
        </w:rPr>
        <w:t>degree</w:t>
      </w:r>
      <w:r w:rsidR="50F2ED78" w:rsidRPr="59A29FBA">
        <w:rPr>
          <w:rFonts w:ascii="Times New Roman" w:hAnsi="Times New Roman" w:cs="Times New Roman"/>
          <w:noProof/>
          <w:color w:val="auto"/>
          <w:sz w:val="24"/>
        </w:rPr>
        <w:t xml:space="preserve"> set out in Annex II to this Recommendation</w:t>
      </w:r>
      <w:r w:rsidRPr="59A29FBA">
        <w:rPr>
          <w:rFonts w:ascii="Times New Roman" w:hAnsi="Times New Roman" w:cs="Times New Roman"/>
          <w:noProof/>
          <w:color w:val="auto"/>
          <w:sz w:val="24"/>
        </w:rPr>
        <w:t>.</w:t>
      </w:r>
    </w:p>
    <w:p w14:paraId="135049E7" w14:textId="77777777" w:rsidR="00A727D0" w:rsidRPr="001513D5" w:rsidRDefault="5C4A5BD8" w:rsidP="008F6D71">
      <w:pPr>
        <w:pStyle w:val="Pealkiri1"/>
        <w:spacing w:before="120"/>
        <w:ind w:left="851" w:hanging="851"/>
        <w:rPr>
          <w:noProof/>
        </w:rPr>
      </w:pPr>
      <w:r>
        <w:rPr>
          <w:noProof/>
        </w:rPr>
        <w:t>Eligibility</w:t>
      </w:r>
    </w:p>
    <w:p w14:paraId="0A2FDB58" w14:textId="77777777" w:rsidR="00A727D0" w:rsidRPr="001513D5" w:rsidRDefault="6769C078" w:rsidP="00F243ED">
      <w:pPr>
        <w:pStyle w:val="Textbody"/>
        <w:jc w:val="both"/>
        <w:rPr>
          <w:rFonts w:ascii="Times New Roman" w:hAnsi="Times New Roman" w:cs="Times New Roman"/>
          <w:noProof/>
          <w:color w:val="auto"/>
          <w:sz w:val="24"/>
        </w:rPr>
      </w:pPr>
      <w:r w:rsidRPr="40B22CF1">
        <w:rPr>
          <w:rFonts w:ascii="Times New Roman" w:hAnsi="Times New Roman" w:cs="Times New Roman"/>
          <w:noProof/>
          <w:color w:val="auto"/>
          <w:sz w:val="24"/>
        </w:rPr>
        <w:t xml:space="preserve">The evaluation should be open to any Alliance </w:t>
      </w:r>
      <w:r w:rsidR="00F243ED">
        <w:rPr>
          <w:rFonts w:ascii="Times New Roman" w:hAnsi="Times New Roman" w:cs="Times New Roman"/>
          <w:noProof/>
          <w:color w:val="auto"/>
          <w:sz w:val="24"/>
        </w:rPr>
        <w:t xml:space="preserve">of higher education institutions </w:t>
      </w:r>
      <w:r w:rsidRPr="40B22CF1">
        <w:rPr>
          <w:rFonts w:ascii="Times New Roman" w:hAnsi="Times New Roman" w:cs="Times New Roman"/>
          <w:noProof/>
          <w:color w:val="auto"/>
          <w:sz w:val="24"/>
        </w:rPr>
        <w:t>in the European Higher Education Area.</w:t>
      </w:r>
    </w:p>
    <w:p w14:paraId="68FE69D3" w14:textId="77777777" w:rsidR="00A727D0" w:rsidRPr="001513D5" w:rsidRDefault="685E41DE" w:rsidP="00F243ED">
      <w:pPr>
        <w:pStyle w:val="Textbody"/>
        <w:jc w:val="both"/>
        <w:rPr>
          <w:rFonts w:ascii="Times New Roman" w:hAnsi="Times New Roman" w:cs="Times New Roman"/>
          <w:noProof/>
          <w:color w:val="auto"/>
          <w:sz w:val="24"/>
        </w:rPr>
      </w:pPr>
      <w:r w:rsidRPr="59A29FBA">
        <w:rPr>
          <w:rFonts w:ascii="Times New Roman" w:hAnsi="Times New Roman" w:cs="Times New Roman"/>
          <w:noProof/>
          <w:color w:val="auto"/>
          <w:sz w:val="24"/>
        </w:rPr>
        <w:t xml:space="preserve">The Alliance </w:t>
      </w:r>
      <w:r w:rsidR="69C36151" w:rsidRPr="59A29FBA">
        <w:rPr>
          <w:rFonts w:ascii="Times New Roman" w:hAnsi="Times New Roman" w:cs="Times New Roman"/>
          <w:noProof/>
          <w:color w:val="auto"/>
          <w:sz w:val="24"/>
        </w:rPr>
        <w:t xml:space="preserve">should have </w:t>
      </w:r>
      <w:r w:rsidRPr="59A29FBA">
        <w:rPr>
          <w:rFonts w:ascii="Times New Roman" w:hAnsi="Times New Roman" w:cs="Times New Roman"/>
          <w:noProof/>
          <w:color w:val="auto"/>
          <w:sz w:val="24"/>
        </w:rPr>
        <w:t>some form of Alliance-level internal quality assurance that takes responsibility for certain</w:t>
      </w:r>
      <w:r w:rsidR="00B5116F">
        <w:rPr>
          <w:rFonts w:ascii="Times New Roman" w:hAnsi="Times New Roman" w:cs="Times New Roman"/>
          <w:noProof/>
          <w:color w:val="auto"/>
          <w:sz w:val="24"/>
        </w:rPr>
        <w:t xml:space="preserve"> </w:t>
      </w:r>
      <w:r w:rsidR="09CF95FA" w:rsidRPr="59A29FBA">
        <w:rPr>
          <w:rFonts w:ascii="Times New Roman" w:hAnsi="Times New Roman" w:cs="Times New Roman"/>
          <w:noProof/>
          <w:color w:val="auto"/>
          <w:sz w:val="24"/>
        </w:rPr>
        <w:t>jointly managed</w:t>
      </w:r>
      <w:r w:rsidR="00C8289F">
        <w:rPr>
          <w:rFonts w:ascii="Times New Roman" w:hAnsi="Times New Roman" w:cs="Times New Roman"/>
          <w:noProof/>
          <w:color w:val="auto"/>
          <w:sz w:val="24"/>
        </w:rPr>
        <w:t xml:space="preserve"> </w:t>
      </w:r>
      <w:r w:rsidRPr="59A29FBA">
        <w:rPr>
          <w:rFonts w:ascii="Times New Roman" w:hAnsi="Times New Roman" w:cs="Times New Roman"/>
          <w:noProof/>
          <w:color w:val="auto"/>
          <w:sz w:val="24"/>
        </w:rPr>
        <w:t>activities.</w:t>
      </w:r>
    </w:p>
    <w:p w14:paraId="032EBFF6" w14:textId="77777777" w:rsidR="00A727D0" w:rsidRPr="001513D5" w:rsidRDefault="00A727D0" w:rsidP="008F6D71">
      <w:pPr>
        <w:pStyle w:val="Pealkiri1"/>
        <w:spacing w:before="120"/>
        <w:ind w:left="851" w:hanging="851"/>
        <w:rPr>
          <w:noProof/>
        </w:rPr>
      </w:pPr>
      <w:r w:rsidRPr="001513D5">
        <w:rPr>
          <w:noProof/>
        </w:rPr>
        <w:t>Scope</w:t>
      </w:r>
    </w:p>
    <w:p w14:paraId="338700F5" w14:textId="77777777" w:rsidR="00A727D0" w:rsidRPr="001513D5" w:rsidRDefault="00A727D0" w:rsidP="009C7EB3">
      <w:pPr>
        <w:pStyle w:val="Textbody"/>
        <w:jc w:val="both"/>
        <w:rPr>
          <w:rFonts w:ascii="Times New Roman" w:hAnsi="Times New Roman" w:cs="Times New Roman"/>
          <w:noProof/>
          <w:color w:val="auto"/>
          <w:sz w:val="24"/>
        </w:rPr>
      </w:pPr>
      <w:r w:rsidRPr="001513D5">
        <w:rPr>
          <w:rFonts w:ascii="Times New Roman" w:hAnsi="Times New Roman" w:cs="Times New Roman"/>
          <w:noProof/>
          <w:color w:val="auto"/>
          <w:sz w:val="24"/>
        </w:rPr>
        <w:t>The focus of the evaluation should be the effectiveness of the Alliance's internal quality assurance and quality enhancement mechanisms.</w:t>
      </w:r>
    </w:p>
    <w:p w14:paraId="5D3C8082" w14:textId="77777777" w:rsidR="009C7EB3" w:rsidRPr="001513D5" w:rsidRDefault="5C4A5BD8" w:rsidP="008F6D71">
      <w:pPr>
        <w:pStyle w:val="Pealkiri1"/>
        <w:spacing w:before="120"/>
        <w:ind w:left="851" w:hanging="851"/>
        <w:rPr>
          <w:noProof/>
        </w:rPr>
      </w:pPr>
      <w:r w:rsidRPr="59A29FBA">
        <w:rPr>
          <w:noProof/>
        </w:rPr>
        <w:t xml:space="preserve">The Alliance </w:t>
      </w:r>
      <w:r w:rsidR="09AC56A7" w:rsidRPr="59A29FBA">
        <w:rPr>
          <w:noProof/>
        </w:rPr>
        <w:t xml:space="preserve">should </w:t>
      </w:r>
      <w:r w:rsidRPr="59A29FBA">
        <w:rPr>
          <w:noProof/>
        </w:rPr>
        <w:t>determine and make transparent which joint educational provision</w:t>
      </w:r>
      <w:r w:rsidR="00F74E50">
        <w:rPr>
          <w:noProof/>
        </w:rPr>
        <w:t xml:space="preserve"> </w:t>
      </w:r>
      <w:r w:rsidR="00F74E50" w:rsidRPr="00762464">
        <w:rPr>
          <w:rFonts w:eastAsia="Source Sans Pro"/>
          <w:noProof/>
          <w:color w:val="333333"/>
          <w:kern w:val="2"/>
          <w:szCs w:val="24"/>
          <w:lang w:eastAsia="zh-CN" w:bidi="hi-IN"/>
        </w:rPr>
        <w:t>and activities</w:t>
      </w:r>
      <w:r w:rsidRPr="00762464">
        <w:rPr>
          <w:rFonts w:eastAsia="Source Sans Pro"/>
          <w:noProof/>
          <w:color w:val="333333"/>
          <w:kern w:val="2"/>
          <w:szCs w:val="24"/>
          <w:lang w:eastAsia="zh-CN" w:bidi="hi-IN"/>
        </w:rPr>
        <w:t xml:space="preserve"> </w:t>
      </w:r>
      <w:r w:rsidR="00F74E50" w:rsidRPr="00762464">
        <w:rPr>
          <w:rFonts w:eastAsia="Source Sans Pro"/>
          <w:noProof/>
          <w:color w:val="333333"/>
          <w:kern w:val="2"/>
          <w:szCs w:val="24"/>
          <w:lang w:eastAsia="zh-CN" w:bidi="hi-IN"/>
        </w:rPr>
        <w:t>are</w:t>
      </w:r>
      <w:r w:rsidR="00F74E50" w:rsidRPr="59A29FBA">
        <w:rPr>
          <w:noProof/>
        </w:rPr>
        <w:t xml:space="preserve"> </w:t>
      </w:r>
      <w:r w:rsidRPr="59A29FBA">
        <w:rPr>
          <w:noProof/>
        </w:rPr>
        <w:t>subject to the common, Alliance-level internal quality assurance.</w:t>
      </w:r>
      <w:r w:rsidR="38D2459C" w:rsidRPr="59A29FBA">
        <w:rPr>
          <w:noProof/>
        </w:rPr>
        <w:t xml:space="preserve"> </w:t>
      </w:r>
      <w:r w:rsidR="009C7EB3">
        <w:rPr>
          <w:noProof/>
        </w:rPr>
        <w:t>Key Features</w:t>
      </w:r>
    </w:p>
    <w:p w14:paraId="751AF355" w14:textId="77777777" w:rsidR="00A727D0" w:rsidRPr="001513D5" w:rsidRDefault="5C4A5BD8" w:rsidP="009C7EB3">
      <w:pPr>
        <w:pStyle w:val="Textbody"/>
        <w:jc w:val="both"/>
        <w:rPr>
          <w:rFonts w:ascii="Times New Roman" w:hAnsi="Times New Roman" w:cs="Times New Roman"/>
          <w:noProof/>
          <w:color w:val="auto"/>
          <w:sz w:val="24"/>
        </w:rPr>
      </w:pPr>
      <w:r w:rsidRPr="59A29FBA">
        <w:rPr>
          <w:rFonts w:ascii="Times New Roman" w:hAnsi="Times New Roman" w:cs="Times New Roman"/>
          <w:noProof/>
          <w:color w:val="auto"/>
          <w:sz w:val="24"/>
        </w:rPr>
        <w:t xml:space="preserve">The </w:t>
      </w:r>
      <w:r w:rsidRPr="008357F5">
        <w:rPr>
          <w:rFonts w:ascii="Times New Roman" w:hAnsi="Times New Roman" w:cs="Times New Roman"/>
          <w:noProof/>
          <w:color w:val="auto"/>
          <w:sz w:val="24"/>
        </w:rPr>
        <w:t xml:space="preserve">evaluation should </w:t>
      </w:r>
      <w:r w:rsidR="5E3436D2" w:rsidRPr="008357F5">
        <w:rPr>
          <w:rFonts w:ascii="Times New Roman" w:hAnsi="Times New Roman" w:cs="Times New Roman"/>
          <w:noProof/>
          <w:color w:val="auto"/>
          <w:sz w:val="24"/>
        </w:rPr>
        <w:t xml:space="preserve">be based on </w:t>
      </w:r>
      <w:r w:rsidRPr="008357F5">
        <w:rPr>
          <w:rFonts w:ascii="Times New Roman" w:hAnsi="Times New Roman" w:cs="Times New Roman"/>
          <w:noProof/>
          <w:color w:val="auto"/>
          <w:sz w:val="24"/>
        </w:rPr>
        <w:t>standards</w:t>
      </w:r>
      <w:r w:rsidRPr="59A29FBA">
        <w:rPr>
          <w:rFonts w:ascii="Times New Roman" w:hAnsi="Times New Roman" w:cs="Times New Roman"/>
          <w:noProof/>
          <w:color w:val="auto"/>
          <w:sz w:val="24"/>
        </w:rPr>
        <w:t xml:space="preserve"> that fully incorporate ESG Part 1. </w:t>
      </w:r>
    </w:p>
    <w:p w14:paraId="25F60A9A" w14:textId="56330438" w:rsidR="00A727D0" w:rsidRPr="001513D5" w:rsidRDefault="5C4A5BD8" w:rsidP="009C7EB3">
      <w:pPr>
        <w:pStyle w:val="Textbody"/>
        <w:jc w:val="both"/>
        <w:rPr>
          <w:rFonts w:ascii="Times New Roman" w:hAnsi="Times New Roman" w:cs="Times New Roman"/>
          <w:noProof/>
          <w:color w:val="auto"/>
          <w:sz w:val="24"/>
        </w:rPr>
      </w:pPr>
      <w:r w:rsidRPr="59A29FBA">
        <w:rPr>
          <w:rFonts w:ascii="Times New Roman" w:hAnsi="Times New Roman" w:cs="Times New Roman"/>
          <w:noProof/>
          <w:color w:val="auto"/>
          <w:sz w:val="24"/>
        </w:rPr>
        <w:t xml:space="preserve">The </w:t>
      </w:r>
      <w:r w:rsidRPr="00C8289F">
        <w:rPr>
          <w:rFonts w:ascii="Times New Roman" w:hAnsi="Times New Roman" w:cs="Times New Roman"/>
          <w:noProof/>
          <w:color w:val="auto"/>
          <w:sz w:val="24"/>
        </w:rPr>
        <w:t xml:space="preserve">standards should also include </w:t>
      </w:r>
      <w:r w:rsidR="009C7EB3" w:rsidRPr="00C8289F">
        <w:rPr>
          <w:rFonts w:ascii="Times New Roman" w:hAnsi="Times New Roman" w:cs="Times New Roman"/>
          <w:noProof/>
          <w:color w:val="auto"/>
          <w:sz w:val="24"/>
        </w:rPr>
        <w:t>confirmation</w:t>
      </w:r>
      <w:r w:rsidR="009C7EB3">
        <w:rPr>
          <w:rFonts w:ascii="Times New Roman" w:hAnsi="Times New Roman" w:cs="Times New Roman"/>
          <w:noProof/>
          <w:color w:val="auto"/>
          <w:sz w:val="24"/>
        </w:rPr>
        <w:t xml:space="preserve"> </w:t>
      </w:r>
      <w:r w:rsidRPr="59A29FBA">
        <w:rPr>
          <w:rFonts w:ascii="Times New Roman" w:hAnsi="Times New Roman" w:cs="Times New Roman"/>
          <w:noProof/>
          <w:color w:val="auto"/>
          <w:sz w:val="24"/>
        </w:rPr>
        <w:t>that the Alliance's internal quality assurance ensures that:</w:t>
      </w:r>
    </w:p>
    <w:p w14:paraId="6B018032" w14:textId="54971467" w:rsidR="00A727D0" w:rsidRPr="001513D5" w:rsidRDefault="5C4A5BD8" w:rsidP="000A03C3">
      <w:pPr>
        <w:pStyle w:val="Textbody"/>
        <w:numPr>
          <w:ilvl w:val="0"/>
          <w:numId w:val="8"/>
        </w:numPr>
        <w:spacing w:after="0"/>
        <w:ind w:left="357" w:hanging="357"/>
        <w:jc w:val="both"/>
        <w:rPr>
          <w:rFonts w:ascii="Times New Roman" w:hAnsi="Times New Roman" w:cs="Times New Roman"/>
          <w:noProof/>
          <w:color w:val="auto"/>
          <w:sz w:val="24"/>
        </w:rPr>
      </w:pPr>
      <w:r w:rsidRPr="59A29FBA">
        <w:rPr>
          <w:rFonts w:ascii="Times New Roman" w:hAnsi="Times New Roman" w:cs="Times New Roman"/>
          <w:noProof/>
          <w:color w:val="auto"/>
          <w:sz w:val="24"/>
        </w:rPr>
        <w:t>joint education programmes offered by the Alliance comply with the standards of the European Approach</w:t>
      </w:r>
      <w:r w:rsidR="001358FB">
        <w:rPr>
          <w:rFonts w:ascii="Times New Roman" w:hAnsi="Times New Roman" w:cs="Times New Roman"/>
          <w:noProof/>
          <w:color w:val="auto"/>
          <w:sz w:val="24"/>
        </w:rPr>
        <w:t xml:space="preserve"> </w:t>
      </w:r>
      <w:r w:rsidR="001358FB" w:rsidRPr="001358FB">
        <w:rPr>
          <w:rFonts w:ascii="Times New Roman" w:hAnsi="Times New Roman" w:cs="Times New Roman"/>
          <w:noProof/>
          <w:color w:val="auto"/>
          <w:sz w:val="24"/>
        </w:rPr>
        <w:t>to Quality Assurance of Joint Programmes</w:t>
      </w:r>
      <w:r w:rsidR="0368D7F4" w:rsidRPr="59A29FBA">
        <w:rPr>
          <w:rFonts w:ascii="Times New Roman" w:hAnsi="Times New Roman" w:cs="Times New Roman"/>
          <w:noProof/>
          <w:color w:val="auto"/>
          <w:sz w:val="24"/>
        </w:rPr>
        <w:t>;</w:t>
      </w:r>
      <w:r w:rsidRPr="59A29FBA">
        <w:rPr>
          <w:rFonts w:ascii="Times New Roman" w:hAnsi="Times New Roman" w:cs="Times New Roman"/>
          <w:noProof/>
          <w:color w:val="auto"/>
          <w:sz w:val="24"/>
        </w:rPr>
        <w:t xml:space="preserve"> </w:t>
      </w:r>
      <w:r>
        <w:rPr>
          <w:rFonts w:ascii="Times New Roman" w:hAnsi="Times New Roman" w:cs="Times New Roman"/>
          <w:noProof/>
          <w:color w:val="auto"/>
          <w:sz w:val="24"/>
        </w:rPr>
        <w:t>and</w:t>
      </w:r>
    </w:p>
    <w:p w14:paraId="339FFE98" w14:textId="6C71CD36" w:rsidR="00A727D0" w:rsidRPr="001513D5" w:rsidRDefault="5C4A5BD8" w:rsidP="000A03C3">
      <w:pPr>
        <w:pStyle w:val="Textbody"/>
        <w:numPr>
          <w:ilvl w:val="0"/>
          <w:numId w:val="8"/>
        </w:numPr>
        <w:jc w:val="both"/>
        <w:rPr>
          <w:rFonts w:ascii="Times New Roman" w:hAnsi="Times New Roman" w:cs="Times New Roman"/>
          <w:noProof/>
          <w:color w:val="auto"/>
          <w:sz w:val="24"/>
        </w:rPr>
      </w:pPr>
      <w:r w:rsidRPr="59A29FBA">
        <w:rPr>
          <w:rFonts w:ascii="Times New Roman" w:hAnsi="Times New Roman" w:cs="Times New Roman"/>
          <w:noProof/>
          <w:color w:val="auto"/>
          <w:sz w:val="24"/>
        </w:rPr>
        <w:t>joint education programmes</w:t>
      </w:r>
      <w:r w:rsidR="001358FB">
        <w:rPr>
          <w:rFonts w:ascii="Times New Roman" w:hAnsi="Times New Roman" w:cs="Times New Roman"/>
          <w:noProof/>
          <w:color w:val="auto"/>
          <w:sz w:val="24"/>
        </w:rPr>
        <w:t xml:space="preserve"> </w:t>
      </w:r>
      <w:r w:rsidR="001358FB" w:rsidRPr="008357F5">
        <w:rPr>
          <w:rFonts w:ascii="Times New Roman" w:hAnsi="Times New Roman" w:cs="Times New Roman"/>
          <w:noProof/>
          <w:color w:val="auto"/>
          <w:sz w:val="24"/>
        </w:rPr>
        <w:t>meet</w:t>
      </w:r>
      <w:r w:rsidRPr="008357F5">
        <w:rPr>
          <w:rFonts w:ascii="Times New Roman" w:hAnsi="Times New Roman" w:cs="Times New Roman"/>
          <w:noProof/>
          <w:color w:val="auto"/>
          <w:sz w:val="24"/>
        </w:rPr>
        <w:t xml:space="preserve"> the</w:t>
      </w:r>
      <w:r w:rsidRPr="59A29FBA">
        <w:rPr>
          <w:rFonts w:ascii="Times New Roman" w:hAnsi="Times New Roman" w:cs="Times New Roman"/>
          <w:noProof/>
          <w:color w:val="auto"/>
          <w:sz w:val="24"/>
        </w:rPr>
        <w:t xml:space="preserve"> European criteria to deliver the European  label, or </w:t>
      </w:r>
      <w:r w:rsidR="00801E3A">
        <w:rPr>
          <w:rFonts w:ascii="Times New Roman" w:hAnsi="Times New Roman" w:cs="Times New Roman"/>
          <w:noProof/>
          <w:color w:val="auto"/>
          <w:sz w:val="24"/>
        </w:rPr>
        <w:t>as appropriate</w:t>
      </w:r>
      <w:r w:rsidRPr="59A29FBA">
        <w:rPr>
          <w:rFonts w:ascii="Times New Roman" w:hAnsi="Times New Roman" w:cs="Times New Roman"/>
          <w:noProof/>
          <w:color w:val="auto"/>
          <w:sz w:val="24"/>
        </w:rPr>
        <w:t xml:space="preserve">, the European </w:t>
      </w:r>
      <w:r w:rsidR="0A298AFA" w:rsidRPr="59A29FBA">
        <w:rPr>
          <w:rFonts w:ascii="Times New Roman" w:hAnsi="Times New Roman" w:cs="Times New Roman"/>
          <w:noProof/>
          <w:color w:val="auto"/>
          <w:sz w:val="24"/>
        </w:rPr>
        <w:t>d</w:t>
      </w:r>
      <w:r w:rsidRPr="59A29FBA">
        <w:rPr>
          <w:rFonts w:ascii="Times New Roman" w:hAnsi="Times New Roman" w:cs="Times New Roman"/>
          <w:noProof/>
          <w:color w:val="auto"/>
          <w:sz w:val="24"/>
        </w:rPr>
        <w:t>egree, if the Alliance decide</w:t>
      </w:r>
      <w:r w:rsidR="178AE0E0" w:rsidRPr="59A29FBA">
        <w:rPr>
          <w:rFonts w:ascii="Times New Roman" w:hAnsi="Times New Roman" w:cs="Times New Roman"/>
          <w:noProof/>
          <w:color w:val="auto"/>
          <w:sz w:val="24"/>
        </w:rPr>
        <w:t>s</w:t>
      </w:r>
      <w:r w:rsidRPr="59A29FBA">
        <w:rPr>
          <w:rFonts w:ascii="Times New Roman" w:hAnsi="Times New Roman" w:cs="Times New Roman"/>
          <w:noProof/>
          <w:color w:val="auto"/>
          <w:sz w:val="24"/>
        </w:rPr>
        <w:t xml:space="preserve"> to deliver it.</w:t>
      </w:r>
    </w:p>
    <w:p w14:paraId="1BF6CD96" w14:textId="77777777" w:rsidR="00A727D0" w:rsidRPr="001513D5" w:rsidRDefault="00A727D0" w:rsidP="009C7EB3">
      <w:pPr>
        <w:pStyle w:val="Textbody"/>
        <w:jc w:val="both"/>
        <w:rPr>
          <w:rFonts w:ascii="Times New Roman" w:hAnsi="Times New Roman" w:cs="Times New Roman"/>
          <w:noProof/>
          <w:color w:val="auto"/>
          <w:sz w:val="24"/>
        </w:rPr>
      </w:pPr>
      <w:r w:rsidRPr="001513D5">
        <w:rPr>
          <w:rFonts w:ascii="Times New Roman" w:hAnsi="Times New Roman" w:cs="Times New Roman"/>
          <w:noProof/>
          <w:color w:val="auto"/>
          <w:sz w:val="24"/>
        </w:rPr>
        <w:t>The evaluation should be carried out by one EQAR-registered agency, chosen by the Alliance.</w:t>
      </w:r>
    </w:p>
    <w:p w14:paraId="6639A817" w14:textId="77777777" w:rsidR="00A727D0" w:rsidRPr="001513D5" w:rsidRDefault="5C4A5BD8" w:rsidP="009C7EB3">
      <w:pPr>
        <w:pStyle w:val="Textbody"/>
        <w:jc w:val="both"/>
        <w:rPr>
          <w:rFonts w:ascii="Times New Roman" w:hAnsi="Times New Roman" w:cs="Times New Roman"/>
          <w:noProof/>
          <w:color w:val="auto"/>
          <w:sz w:val="24"/>
        </w:rPr>
      </w:pPr>
      <w:r w:rsidRPr="59A29FBA">
        <w:rPr>
          <w:rFonts w:ascii="Times New Roman" w:hAnsi="Times New Roman" w:cs="Times New Roman"/>
          <w:noProof/>
          <w:color w:val="auto"/>
          <w:sz w:val="24"/>
        </w:rPr>
        <w:t xml:space="preserve">The evaluation should have a consistent methodology and procedure, to be set out in </w:t>
      </w:r>
      <w:r w:rsidR="009C7EB3">
        <w:rPr>
          <w:rFonts w:ascii="Times New Roman" w:hAnsi="Times New Roman" w:cs="Times New Roman"/>
          <w:noProof/>
          <w:color w:val="auto"/>
          <w:sz w:val="24"/>
        </w:rPr>
        <w:t xml:space="preserve">a </w:t>
      </w:r>
      <w:r w:rsidRPr="59A29FBA">
        <w:rPr>
          <w:rFonts w:ascii="Times New Roman" w:hAnsi="Times New Roman" w:cs="Times New Roman"/>
          <w:noProof/>
          <w:color w:val="auto"/>
          <w:sz w:val="24"/>
        </w:rPr>
        <w:t>full framework</w:t>
      </w:r>
      <w:r w:rsidR="009C7EB3">
        <w:rPr>
          <w:rFonts w:ascii="Times New Roman" w:hAnsi="Times New Roman" w:cs="Times New Roman"/>
          <w:noProof/>
          <w:color w:val="auto"/>
          <w:sz w:val="24"/>
        </w:rPr>
        <w:t xml:space="preserve"> to be developed </w:t>
      </w:r>
      <w:r w:rsidR="00494D8D">
        <w:rPr>
          <w:rFonts w:ascii="Times New Roman" w:hAnsi="Times New Roman" w:cs="Times New Roman"/>
          <w:noProof/>
          <w:color w:val="auto"/>
          <w:sz w:val="24"/>
        </w:rPr>
        <w:t>based on these building blocks</w:t>
      </w:r>
      <w:r w:rsidRPr="59A29FBA">
        <w:rPr>
          <w:rFonts w:ascii="Times New Roman" w:hAnsi="Times New Roman" w:cs="Times New Roman"/>
          <w:noProof/>
          <w:color w:val="auto"/>
          <w:sz w:val="24"/>
        </w:rPr>
        <w:t xml:space="preserve">, which are applied regardless of the </w:t>
      </w:r>
      <w:r w:rsidR="414D71D5" w:rsidRPr="59A29FBA">
        <w:rPr>
          <w:rFonts w:ascii="Times New Roman" w:hAnsi="Times New Roman" w:cs="Times New Roman"/>
          <w:noProof/>
          <w:color w:val="auto"/>
          <w:sz w:val="24"/>
        </w:rPr>
        <w:t xml:space="preserve">EQAR-registered </w:t>
      </w:r>
      <w:r w:rsidRPr="59A29FBA">
        <w:rPr>
          <w:rFonts w:ascii="Times New Roman" w:hAnsi="Times New Roman" w:cs="Times New Roman"/>
          <w:noProof/>
          <w:color w:val="auto"/>
          <w:sz w:val="24"/>
        </w:rPr>
        <w:t>agency performing the evaluation.</w:t>
      </w:r>
    </w:p>
    <w:p w14:paraId="4CF267D3" w14:textId="77777777" w:rsidR="00A727D0" w:rsidRPr="001513D5" w:rsidRDefault="00A727D0" w:rsidP="009C7EB3">
      <w:pPr>
        <w:pStyle w:val="Textbody"/>
        <w:jc w:val="both"/>
        <w:rPr>
          <w:rFonts w:ascii="Times New Roman" w:hAnsi="Times New Roman" w:cs="Times New Roman"/>
          <w:noProof/>
          <w:color w:val="auto"/>
          <w:sz w:val="24"/>
        </w:rPr>
      </w:pPr>
      <w:r w:rsidRPr="001513D5">
        <w:rPr>
          <w:rFonts w:ascii="Times New Roman" w:hAnsi="Times New Roman" w:cs="Times New Roman"/>
          <w:noProof/>
          <w:color w:val="auto"/>
          <w:sz w:val="24"/>
        </w:rPr>
        <w:t xml:space="preserve">The methodology should </w:t>
      </w:r>
      <w:r w:rsidR="00B67870">
        <w:rPr>
          <w:rFonts w:ascii="Times New Roman" w:hAnsi="Times New Roman" w:cs="Times New Roman"/>
          <w:noProof/>
          <w:color w:val="auto"/>
          <w:sz w:val="24"/>
        </w:rPr>
        <w:t>ensure</w:t>
      </w:r>
      <w:r w:rsidR="00B67870" w:rsidRPr="001513D5">
        <w:rPr>
          <w:rFonts w:ascii="Times New Roman" w:hAnsi="Times New Roman" w:cs="Times New Roman"/>
          <w:noProof/>
          <w:color w:val="auto"/>
          <w:sz w:val="24"/>
        </w:rPr>
        <w:t xml:space="preserve"> </w:t>
      </w:r>
      <w:r w:rsidRPr="001513D5">
        <w:rPr>
          <w:rFonts w:ascii="Times New Roman" w:hAnsi="Times New Roman" w:cs="Times New Roman"/>
          <w:noProof/>
          <w:color w:val="auto"/>
          <w:sz w:val="24"/>
        </w:rPr>
        <w:t>that each procedure is tailored to the individual Alliance, considering the Alliance's mission, composition (for example, size and geographic spread), and the scope of jointly managed activities.</w:t>
      </w:r>
    </w:p>
    <w:p w14:paraId="0A85F1F5" w14:textId="77777777" w:rsidR="00A727D0" w:rsidRPr="001513D5" w:rsidRDefault="00A727D0" w:rsidP="008F6D71">
      <w:pPr>
        <w:pStyle w:val="Pealkiri1"/>
        <w:spacing w:before="120"/>
        <w:ind w:left="851" w:hanging="851"/>
        <w:rPr>
          <w:noProof/>
        </w:rPr>
      </w:pPr>
      <w:r w:rsidRPr="001513D5">
        <w:rPr>
          <w:noProof/>
        </w:rPr>
        <w:t xml:space="preserve"> Results and consequences</w:t>
      </w:r>
    </w:p>
    <w:p w14:paraId="4F9FF17C" w14:textId="77777777" w:rsidR="00A727D0" w:rsidRPr="001513D5" w:rsidRDefault="5C4A5BD8" w:rsidP="00801E3A">
      <w:pPr>
        <w:pStyle w:val="Textbody"/>
        <w:jc w:val="both"/>
        <w:rPr>
          <w:rFonts w:ascii="Times New Roman" w:hAnsi="Times New Roman" w:cs="Times New Roman"/>
          <w:noProof/>
          <w:color w:val="auto"/>
          <w:sz w:val="24"/>
        </w:rPr>
      </w:pPr>
      <w:r w:rsidRPr="59A29FBA">
        <w:rPr>
          <w:rFonts w:ascii="Times New Roman" w:hAnsi="Times New Roman" w:cs="Times New Roman"/>
          <w:noProof/>
          <w:color w:val="auto"/>
          <w:sz w:val="24"/>
        </w:rPr>
        <w:t xml:space="preserve">The evaluation should </w:t>
      </w:r>
      <w:r w:rsidR="3DAFF266" w:rsidRPr="59A29FBA">
        <w:rPr>
          <w:rFonts w:ascii="Times New Roman" w:hAnsi="Times New Roman" w:cs="Times New Roman"/>
          <w:noProof/>
          <w:color w:val="auto"/>
          <w:sz w:val="24"/>
        </w:rPr>
        <w:t>result in a</w:t>
      </w:r>
      <w:r w:rsidRPr="59A29FBA">
        <w:rPr>
          <w:rFonts w:ascii="Times New Roman" w:hAnsi="Times New Roman" w:cs="Times New Roman"/>
          <w:noProof/>
          <w:color w:val="auto"/>
          <w:sz w:val="24"/>
        </w:rPr>
        <w:t xml:space="preserve"> decision by the EQAR-registered agency, which could be positive, positive with conditions or negative.</w:t>
      </w:r>
    </w:p>
    <w:p w14:paraId="460005B4" w14:textId="77777777" w:rsidR="00A727D0" w:rsidRPr="001513D5" w:rsidRDefault="00A727D0" w:rsidP="00801E3A">
      <w:pPr>
        <w:pStyle w:val="Textbody"/>
        <w:jc w:val="both"/>
        <w:rPr>
          <w:rFonts w:ascii="Times New Roman" w:hAnsi="Times New Roman" w:cs="Times New Roman"/>
          <w:noProof/>
          <w:color w:val="auto"/>
          <w:sz w:val="24"/>
        </w:rPr>
      </w:pPr>
      <w:r w:rsidRPr="001513D5">
        <w:rPr>
          <w:rFonts w:ascii="Times New Roman" w:hAnsi="Times New Roman" w:cs="Times New Roman"/>
          <w:noProof/>
          <w:color w:val="auto"/>
          <w:sz w:val="24"/>
        </w:rPr>
        <w:t xml:space="preserve">A positive </w:t>
      </w:r>
      <w:r w:rsidR="003E35A5">
        <w:rPr>
          <w:rFonts w:ascii="Times New Roman" w:hAnsi="Times New Roman" w:cs="Times New Roman"/>
          <w:noProof/>
          <w:color w:val="auto"/>
          <w:sz w:val="24"/>
        </w:rPr>
        <w:t>e</w:t>
      </w:r>
      <w:r w:rsidRPr="001513D5">
        <w:rPr>
          <w:rFonts w:ascii="Times New Roman" w:hAnsi="Times New Roman" w:cs="Times New Roman"/>
          <w:noProof/>
          <w:color w:val="auto"/>
          <w:sz w:val="24"/>
        </w:rPr>
        <w:t>valuation decision should give the Alliance the right to:</w:t>
      </w:r>
    </w:p>
    <w:p w14:paraId="09E79433" w14:textId="40E67DAB" w:rsidR="00A727D0" w:rsidRPr="00C8289F" w:rsidRDefault="5C4A5BD8" w:rsidP="000A03C3">
      <w:pPr>
        <w:pStyle w:val="Textbody"/>
        <w:numPr>
          <w:ilvl w:val="0"/>
          <w:numId w:val="11"/>
        </w:numPr>
        <w:spacing w:after="0"/>
        <w:jc w:val="both"/>
        <w:rPr>
          <w:rFonts w:ascii="Times New Roman" w:hAnsi="Times New Roman" w:cs="Times New Roman"/>
          <w:noProof/>
          <w:color w:val="auto"/>
          <w:sz w:val="24"/>
        </w:rPr>
      </w:pPr>
      <w:r w:rsidRPr="59A29FBA">
        <w:rPr>
          <w:rFonts w:ascii="Times New Roman" w:hAnsi="Times New Roman" w:cs="Times New Roman"/>
          <w:noProof/>
          <w:color w:val="auto"/>
          <w:sz w:val="24"/>
        </w:rPr>
        <w:t xml:space="preserve">self-accredit </w:t>
      </w:r>
      <w:r w:rsidR="00B67870">
        <w:rPr>
          <w:rFonts w:ascii="Times New Roman" w:hAnsi="Times New Roman" w:cs="Times New Roman"/>
          <w:noProof/>
          <w:color w:val="auto"/>
          <w:sz w:val="24"/>
        </w:rPr>
        <w:t>its</w:t>
      </w:r>
      <w:r w:rsidR="00B67870" w:rsidRPr="00C8289F">
        <w:rPr>
          <w:rFonts w:ascii="Times New Roman" w:hAnsi="Times New Roman" w:cs="Times New Roman"/>
          <w:noProof/>
          <w:color w:val="auto"/>
          <w:sz w:val="24"/>
        </w:rPr>
        <w:t xml:space="preserve"> </w:t>
      </w:r>
      <w:r w:rsidRPr="00C8289F">
        <w:rPr>
          <w:rFonts w:ascii="Times New Roman" w:hAnsi="Times New Roman" w:cs="Times New Roman"/>
          <w:noProof/>
          <w:color w:val="auto"/>
          <w:sz w:val="24"/>
        </w:rPr>
        <w:t>joint educational provision</w:t>
      </w:r>
      <w:r w:rsidR="02A88CA4" w:rsidRPr="00C8289F">
        <w:rPr>
          <w:rFonts w:ascii="Times New Roman" w:hAnsi="Times New Roman" w:cs="Times New Roman"/>
          <w:noProof/>
          <w:color w:val="auto"/>
          <w:sz w:val="24"/>
        </w:rPr>
        <w:t xml:space="preserve"> </w:t>
      </w:r>
      <w:r w:rsidRPr="00C8289F">
        <w:rPr>
          <w:rFonts w:ascii="Times New Roman" w:hAnsi="Times New Roman" w:cs="Times New Roman"/>
          <w:noProof/>
          <w:color w:val="auto"/>
          <w:sz w:val="24"/>
        </w:rPr>
        <w:t xml:space="preserve">covered by the  evaluation, using the European Approach </w:t>
      </w:r>
      <w:r w:rsidR="007C6EF9" w:rsidRPr="00C8289F">
        <w:rPr>
          <w:rFonts w:ascii="Times New Roman" w:hAnsi="Times New Roman" w:cs="Times New Roman"/>
          <w:noProof/>
          <w:color w:val="auto"/>
          <w:sz w:val="24"/>
        </w:rPr>
        <w:t xml:space="preserve">to Quality Assurance of Joint Programmes </w:t>
      </w:r>
      <w:r w:rsidRPr="00C8289F">
        <w:rPr>
          <w:rFonts w:ascii="Times New Roman" w:hAnsi="Times New Roman" w:cs="Times New Roman"/>
          <w:noProof/>
          <w:color w:val="auto"/>
          <w:sz w:val="24"/>
        </w:rPr>
        <w:t>standards</w:t>
      </w:r>
      <w:r w:rsidR="00811263">
        <w:rPr>
          <w:rFonts w:ascii="Times New Roman" w:hAnsi="Times New Roman" w:cs="Times New Roman"/>
          <w:noProof/>
          <w:color w:val="auto"/>
          <w:sz w:val="24"/>
        </w:rPr>
        <w:t>;</w:t>
      </w:r>
      <w:r>
        <w:rPr>
          <w:rFonts w:ascii="Times New Roman" w:hAnsi="Times New Roman" w:cs="Times New Roman"/>
          <w:noProof/>
          <w:color w:val="auto"/>
          <w:sz w:val="24"/>
        </w:rPr>
        <w:t xml:space="preserve"> and</w:t>
      </w:r>
    </w:p>
    <w:p w14:paraId="1E9E6B50" w14:textId="49C939DF" w:rsidR="00344DA5" w:rsidRPr="00344DA5" w:rsidRDefault="5C4A5BD8">
      <w:pPr>
        <w:pStyle w:val="Textbody"/>
        <w:numPr>
          <w:ilvl w:val="0"/>
          <w:numId w:val="11"/>
        </w:numPr>
        <w:ind w:left="357" w:hanging="357"/>
        <w:jc w:val="both"/>
        <w:rPr>
          <w:rFonts w:ascii="Times New Roman" w:hAnsi="Times New Roman" w:cs="Times New Roman"/>
          <w:noProof/>
          <w:color w:val="auto"/>
          <w:sz w:val="24"/>
        </w:rPr>
      </w:pPr>
      <w:r w:rsidRPr="00C8289F">
        <w:rPr>
          <w:rFonts w:ascii="Times New Roman" w:hAnsi="Times New Roman" w:cs="Times New Roman"/>
          <w:noProof/>
          <w:color w:val="auto"/>
          <w:sz w:val="24"/>
        </w:rPr>
        <w:t>use the  European  label for those programmes</w:t>
      </w:r>
      <w:r w:rsidR="756C9731" w:rsidRPr="00C8289F">
        <w:rPr>
          <w:rFonts w:ascii="Times New Roman" w:hAnsi="Times New Roman" w:cs="Times New Roman"/>
          <w:noProof/>
          <w:color w:val="auto"/>
          <w:sz w:val="24"/>
        </w:rPr>
        <w:t xml:space="preserve"> </w:t>
      </w:r>
      <w:r w:rsidRPr="00C8289F">
        <w:rPr>
          <w:rFonts w:ascii="Times New Roman" w:hAnsi="Times New Roman" w:cs="Times New Roman"/>
          <w:noProof/>
          <w:color w:val="auto"/>
          <w:sz w:val="24"/>
        </w:rPr>
        <w:t>that comply with the European</w:t>
      </w:r>
      <w:r w:rsidR="168633E5" w:rsidRPr="00C8289F">
        <w:rPr>
          <w:rFonts w:ascii="Times New Roman" w:hAnsi="Times New Roman" w:cs="Times New Roman"/>
          <w:noProof/>
          <w:color w:val="auto"/>
          <w:sz w:val="24"/>
        </w:rPr>
        <w:t xml:space="preserve"> degree (label)</w:t>
      </w:r>
      <w:r w:rsidRPr="00C8289F">
        <w:rPr>
          <w:rFonts w:ascii="Times New Roman" w:hAnsi="Times New Roman" w:cs="Times New Roman"/>
          <w:noProof/>
          <w:color w:val="auto"/>
          <w:sz w:val="24"/>
        </w:rPr>
        <w:t xml:space="preserve"> criteria, and deliver, if possible and on a voluntary basis</w:t>
      </w:r>
      <w:r w:rsidRPr="59A29FBA">
        <w:rPr>
          <w:rFonts w:ascii="Times New Roman" w:hAnsi="Times New Roman" w:cs="Times New Roman"/>
          <w:noProof/>
          <w:color w:val="auto"/>
          <w:sz w:val="24"/>
        </w:rPr>
        <w:t>, a European degree.</w:t>
      </w:r>
    </w:p>
    <w:p w14:paraId="211C8999" w14:textId="3F2236D5" w:rsidR="00A727D0" w:rsidRPr="001513D5" w:rsidRDefault="5C4A5BD8" w:rsidP="00344DA5">
      <w:pPr>
        <w:pStyle w:val="Textbody"/>
        <w:jc w:val="both"/>
        <w:rPr>
          <w:rFonts w:ascii="Times New Roman" w:hAnsi="Times New Roman" w:cs="Times New Roman"/>
          <w:noProof/>
          <w:color w:val="auto"/>
          <w:sz w:val="24"/>
        </w:rPr>
      </w:pPr>
      <w:r w:rsidRPr="59A29FBA">
        <w:rPr>
          <w:rFonts w:ascii="Times New Roman" w:hAnsi="Times New Roman" w:cs="Times New Roman"/>
          <w:noProof/>
          <w:color w:val="auto"/>
          <w:sz w:val="24"/>
        </w:rPr>
        <w:t xml:space="preserve">Member States should recognise a positive evaluation decision </w:t>
      </w:r>
      <w:r w:rsidR="30C942E3" w:rsidRPr="59A29FBA">
        <w:rPr>
          <w:rFonts w:ascii="Times New Roman" w:hAnsi="Times New Roman" w:cs="Times New Roman"/>
          <w:noProof/>
          <w:color w:val="auto"/>
          <w:sz w:val="24"/>
        </w:rPr>
        <w:t>as follows</w:t>
      </w:r>
      <w:r w:rsidRPr="59A29FBA">
        <w:rPr>
          <w:rFonts w:ascii="Times New Roman" w:hAnsi="Times New Roman" w:cs="Times New Roman"/>
          <w:noProof/>
          <w:color w:val="auto"/>
          <w:sz w:val="24"/>
        </w:rPr>
        <w:t>:</w:t>
      </w:r>
    </w:p>
    <w:p w14:paraId="5ED77D5C" w14:textId="2BDB17F9" w:rsidR="00A727D0" w:rsidRPr="001513D5" w:rsidRDefault="5C4A5BD8" w:rsidP="000A03C3">
      <w:pPr>
        <w:pStyle w:val="Textbody"/>
        <w:numPr>
          <w:ilvl w:val="0"/>
          <w:numId w:val="12"/>
        </w:numPr>
        <w:spacing w:after="0"/>
        <w:jc w:val="both"/>
        <w:rPr>
          <w:rFonts w:ascii="Times New Roman" w:hAnsi="Times New Roman" w:cs="Times New Roman"/>
          <w:noProof/>
          <w:color w:val="auto"/>
          <w:sz w:val="24"/>
        </w:rPr>
      </w:pPr>
      <w:r w:rsidRPr="59A29FBA">
        <w:rPr>
          <w:rFonts w:ascii="Times New Roman" w:hAnsi="Times New Roman" w:cs="Times New Roman"/>
          <w:noProof/>
          <w:color w:val="auto"/>
          <w:sz w:val="24"/>
        </w:rPr>
        <w:lastRenderedPageBreak/>
        <w:t>for national external quality assurance at institutional level: exempt all joint education provision that is covered by a joint internal quality assurance that passed the evaluation</w:t>
      </w:r>
      <w:r w:rsidR="00801E3A">
        <w:rPr>
          <w:rFonts w:ascii="Times New Roman" w:hAnsi="Times New Roman" w:cs="Times New Roman"/>
          <w:noProof/>
          <w:color w:val="auto"/>
          <w:sz w:val="24"/>
        </w:rPr>
        <w:t xml:space="preserve"> from undergoing additional national quality assurance procedures</w:t>
      </w:r>
      <w:r w:rsidR="00811263">
        <w:rPr>
          <w:rFonts w:ascii="Times New Roman" w:hAnsi="Times New Roman" w:cs="Times New Roman"/>
          <w:noProof/>
          <w:color w:val="auto"/>
          <w:sz w:val="24"/>
        </w:rPr>
        <w:t>;</w:t>
      </w:r>
      <w:r>
        <w:rPr>
          <w:rFonts w:ascii="Times New Roman" w:hAnsi="Times New Roman" w:cs="Times New Roman"/>
          <w:noProof/>
          <w:color w:val="auto"/>
          <w:sz w:val="24"/>
        </w:rPr>
        <w:t xml:space="preserve"> and</w:t>
      </w:r>
    </w:p>
    <w:p w14:paraId="0BF116E7" w14:textId="77777777" w:rsidR="00A727D0" w:rsidRPr="008F6D71" w:rsidRDefault="5C4A5BD8" w:rsidP="000A03C3">
      <w:pPr>
        <w:pStyle w:val="Textbody"/>
        <w:numPr>
          <w:ilvl w:val="0"/>
          <w:numId w:val="12"/>
        </w:numPr>
        <w:spacing w:after="0"/>
        <w:ind w:left="357" w:hanging="357"/>
        <w:jc w:val="both"/>
        <w:rPr>
          <w:rFonts w:ascii="Times New Roman" w:hAnsi="Times New Roman" w:cs="Times New Roman"/>
          <w:noProof/>
          <w:color w:val="auto"/>
          <w:sz w:val="24"/>
        </w:rPr>
      </w:pPr>
      <w:r w:rsidRPr="59A29FBA">
        <w:rPr>
          <w:rFonts w:ascii="Times New Roman" w:hAnsi="Times New Roman" w:cs="Times New Roman"/>
          <w:noProof/>
          <w:color w:val="auto"/>
          <w:sz w:val="24"/>
        </w:rPr>
        <w:t>for national external quality assurance at programme level: exempt all programmes that are covered by a joint internal quality assurance that passed the evaluation</w:t>
      </w:r>
      <w:r w:rsidR="00801E3A">
        <w:rPr>
          <w:rFonts w:ascii="Times New Roman" w:hAnsi="Times New Roman" w:cs="Times New Roman"/>
          <w:noProof/>
          <w:color w:val="auto"/>
          <w:sz w:val="24"/>
        </w:rPr>
        <w:t xml:space="preserve"> from undergoing additional national quality assurance procedures</w:t>
      </w:r>
      <w:r w:rsidRPr="59A29FBA">
        <w:rPr>
          <w:rFonts w:ascii="Times New Roman" w:hAnsi="Times New Roman" w:cs="Times New Roman"/>
          <w:noProof/>
          <w:color w:val="auto"/>
          <w:sz w:val="24"/>
        </w:rPr>
        <w:t>.</w:t>
      </w:r>
    </w:p>
    <w:p w14:paraId="3B0865A6" w14:textId="77777777" w:rsidR="00A727D0" w:rsidRDefault="00A727D0" w:rsidP="00A727D0">
      <w:pPr>
        <w:rPr>
          <w:noProof/>
        </w:rPr>
        <w:sectPr w:rsidR="00A727D0" w:rsidSect="001D0895">
          <w:headerReference w:type="even" r:id="rId22"/>
          <w:footerReference w:type="even" r:id="rId23"/>
          <w:footerReference w:type="default" r:id="rId24"/>
          <w:headerReference w:type="first" r:id="rId25"/>
          <w:footerReference w:type="first" r:id="rId26"/>
          <w:pgSz w:w="11907" w:h="16839"/>
          <w:pgMar w:top="1134" w:right="1417" w:bottom="1134" w:left="1417" w:header="709" w:footer="709" w:gutter="0"/>
          <w:cols w:space="720"/>
          <w:docGrid w:linePitch="360"/>
        </w:sectPr>
      </w:pPr>
    </w:p>
    <w:p w14:paraId="4C3060F4" w14:textId="77777777" w:rsidR="00A727D0" w:rsidRDefault="5C4A5BD8" w:rsidP="00A727D0">
      <w:pPr>
        <w:pStyle w:val="Annexetitre"/>
        <w:rPr>
          <w:rStyle w:val="Marker"/>
          <w:noProof/>
        </w:rPr>
      </w:pPr>
      <w:r>
        <w:rPr>
          <w:noProof/>
        </w:rPr>
        <w:lastRenderedPageBreak/>
        <w:t xml:space="preserve">ANNEX </w:t>
      </w:r>
      <w:r w:rsidR="1362B7ED">
        <w:rPr>
          <w:noProof/>
        </w:rPr>
        <w:t>II</w:t>
      </w:r>
    </w:p>
    <w:p w14:paraId="77044DB3" w14:textId="77777777" w:rsidR="00A727D0" w:rsidRDefault="00A727D0" w:rsidP="00A727D0">
      <w:pPr>
        <w:jc w:val="center"/>
        <w:rPr>
          <w:b/>
          <w:bCs/>
          <w:noProof/>
          <w:szCs w:val="24"/>
        </w:rPr>
      </w:pPr>
    </w:p>
    <w:p w14:paraId="7B25BCCB" w14:textId="7E035104" w:rsidR="00F67F64" w:rsidRPr="00F67F64" w:rsidRDefault="00F67F64" w:rsidP="00F67F64">
      <w:pPr>
        <w:rPr>
          <w:noProof/>
          <w:szCs w:val="24"/>
        </w:rPr>
      </w:pPr>
      <w:r w:rsidRPr="00F67F64">
        <w:rPr>
          <w:noProof/>
          <w:szCs w:val="24"/>
        </w:rPr>
        <w:t xml:space="preserve">The European criteria set out the key features of the European degree and the European label. They guarantee the respect of the highest standards to offer transnational programmes and transnational degrees and explains why it is different from degrees awarded in other parts of the world. </w:t>
      </w:r>
    </w:p>
    <w:p w14:paraId="71C89FD2" w14:textId="77777777" w:rsidR="00F67F64" w:rsidRPr="00F67F64" w:rsidRDefault="00F67F64" w:rsidP="00F67F64">
      <w:pPr>
        <w:rPr>
          <w:noProof/>
          <w:szCs w:val="24"/>
        </w:rPr>
      </w:pPr>
      <w:r w:rsidRPr="00F67F64">
        <w:rPr>
          <w:noProof/>
          <w:szCs w:val="24"/>
        </w:rPr>
        <w:t xml:space="preserve">Higher education institutions would be able to award the European degree based on an assessment by existing national structures (for example, </w:t>
      </w:r>
      <w:r w:rsidR="008357F5">
        <w:rPr>
          <w:noProof/>
          <w:szCs w:val="24"/>
        </w:rPr>
        <w:t xml:space="preserve">national </w:t>
      </w:r>
      <w:r w:rsidRPr="00F67F64">
        <w:rPr>
          <w:noProof/>
          <w:szCs w:val="24"/>
        </w:rPr>
        <w:t xml:space="preserve">quality assurance agencies) of whether the joint programme fulfils </w:t>
      </w:r>
      <w:r>
        <w:rPr>
          <w:noProof/>
          <w:u w:val="single"/>
        </w:rPr>
        <w:t>all</w:t>
      </w:r>
      <w:r w:rsidRPr="00F67F64">
        <w:rPr>
          <w:noProof/>
          <w:szCs w:val="24"/>
        </w:rPr>
        <w:t xml:space="preserve"> these European criteria.</w:t>
      </w:r>
    </w:p>
    <w:p w14:paraId="38A820AB" w14:textId="77777777" w:rsidR="00313C63" w:rsidRPr="00A9360A" w:rsidRDefault="00F67F64" w:rsidP="00313C63">
      <w:pPr>
        <w:rPr>
          <w:rFonts w:eastAsia="Times New Roman Bold"/>
          <w:noProof/>
          <w:szCs w:val="24"/>
          <w:lang w:eastAsia="en-GB"/>
        </w:rPr>
      </w:pPr>
      <w:r w:rsidRPr="00F67F64">
        <w:rPr>
          <w:noProof/>
          <w:szCs w:val="24"/>
        </w:rPr>
        <w:t xml:space="preserve">The proposed European criteria that are presented below are the result of a </w:t>
      </w:r>
      <w:r w:rsidR="00313C63">
        <w:rPr>
          <w:noProof/>
          <w:szCs w:val="24"/>
        </w:rPr>
        <w:t xml:space="preserve">huge </w:t>
      </w:r>
      <w:r w:rsidRPr="00F67F64">
        <w:rPr>
          <w:noProof/>
          <w:szCs w:val="24"/>
        </w:rPr>
        <w:t xml:space="preserve">collaborative work </w:t>
      </w:r>
      <w:r w:rsidR="00313C63">
        <w:rPr>
          <w:noProof/>
          <w:szCs w:val="24"/>
        </w:rPr>
        <w:t xml:space="preserve">and testing that </w:t>
      </w:r>
      <w:r w:rsidR="00313C63" w:rsidRPr="001845F3">
        <w:rPr>
          <w:rFonts w:eastAsia="Times New Roman Bold"/>
          <w:noProof/>
          <w:szCs w:val="24"/>
          <w:lang w:eastAsia="en-GB"/>
        </w:rPr>
        <w:t xml:space="preserve">involved more than </w:t>
      </w:r>
      <w:r w:rsidR="00593A59">
        <w:rPr>
          <w:rFonts w:eastAsia="Times New Roman Bold"/>
          <w:b/>
          <w:bCs/>
          <w:noProof/>
          <w:szCs w:val="24"/>
          <w:lang w:eastAsia="en-GB"/>
        </w:rPr>
        <w:t>140</w:t>
      </w:r>
      <w:r w:rsidR="00593A59" w:rsidRPr="005C0C02">
        <w:rPr>
          <w:rFonts w:eastAsia="Times New Roman Bold"/>
          <w:b/>
          <w:bCs/>
          <w:noProof/>
          <w:szCs w:val="24"/>
          <w:lang w:eastAsia="en-GB"/>
        </w:rPr>
        <w:t xml:space="preserve"> </w:t>
      </w:r>
      <w:r w:rsidR="00313C63" w:rsidRPr="005C0C02">
        <w:rPr>
          <w:rFonts w:eastAsia="Times New Roman Bold"/>
          <w:b/>
          <w:bCs/>
          <w:noProof/>
          <w:szCs w:val="24"/>
          <w:lang w:eastAsia="en-GB"/>
        </w:rPr>
        <w:t xml:space="preserve">higher education institutions across all Member States, 17 ministries and 20 national </w:t>
      </w:r>
      <w:r w:rsidR="00313C63">
        <w:rPr>
          <w:rFonts w:eastAsia="Times New Roman Bold"/>
          <w:b/>
          <w:bCs/>
          <w:noProof/>
          <w:szCs w:val="24"/>
          <w:lang w:eastAsia="en-GB"/>
        </w:rPr>
        <w:t>q</w:t>
      </w:r>
      <w:r w:rsidR="00313C63" w:rsidRPr="005C0C02">
        <w:rPr>
          <w:rFonts w:eastAsia="Times New Roman Bold"/>
          <w:b/>
          <w:bCs/>
          <w:noProof/>
          <w:szCs w:val="24"/>
          <w:lang w:eastAsia="en-GB"/>
        </w:rPr>
        <w:t xml:space="preserve">uality </w:t>
      </w:r>
      <w:r w:rsidR="00313C63">
        <w:rPr>
          <w:rFonts w:eastAsia="Times New Roman Bold"/>
          <w:b/>
          <w:bCs/>
          <w:noProof/>
          <w:szCs w:val="24"/>
          <w:lang w:eastAsia="en-GB"/>
        </w:rPr>
        <w:t>a</w:t>
      </w:r>
      <w:r w:rsidR="00313C63" w:rsidRPr="005C0C02">
        <w:rPr>
          <w:rFonts w:eastAsia="Times New Roman Bold"/>
          <w:b/>
          <w:bCs/>
          <w:noProof/>
          <w:szCs w:val="24"/>
          <w:lang w:eastAsia="en-GB"/>
        </w:rPr>
        <w:t>ssurance agencies</w:t>
      </w:r>
      <w:r w:rsidR="00313C63">
        <w:rPr>
          <w:rFonts w:eastAsia="Times New Roman Bold"/>
          <w:b/>
          <w:bCs/>
          <w:noProof/>
          <w:szCs w:val="24"/>
          <w:lang w:eastAsia="en-GB"/>
        </w:rPr>
        <w:t>, students’ organisations and economic and social partners</w:t>
      </w:r>
      <w:r w:rsidR="00313C63" w:rsidRPr="005C0C02">
        <w:rPr>
          <w:rFonts w:eastAsia="Times New Roman Bold"/>
          <w:noProof/>
          <w:szCs w:val="24"/>
          <w:lang w:eastAsia="en-GB"/>
        </w:rPr>
        <w:t xml:space="preserve">. </w:t>
      </w:r>
    </w:p>
    <w:p w14:paraId="24FA10D2" w14:textId="77777777" w:rsidR="00F67F64" w:rsidRPr="00716B4B" w:rsidRDefault="00F67F64" w:rsidP="00716B4B">
      <w:pPr>
        <w:rPr>
          <w:noProof/>
          <w:szCs w:val="24"/>
        </w:rPr>
      </w:pPr>
    </w:p>
    <w:tbl>
      <w:tblPr>
        <w:tblStyle w:val="Kontuurtabel"/>
        <w:tblW w:w="11058" w:type="dxa"/>
        <w:tblInd w:w="-856" w:type="dxa"/>
        <w:tblLook w:val="04A0" w:firstRow="1" w:lastRow="0" w:firstColumn="1" w:lastColumn="0" w:noHBand="0" w:noVBand="1"/>
      </w:tblPr>
      <w:tblGrid>
        <w:gridCol w:w="1536"/>
        <w:gridCol w:w="1936"/>
        <w:gridCol w:w="6598"/>
        <w:gridCol w:w="988"/>
      </w:tblGrid>
      <w:tr w:rsidR="00A727D0" w:rsidRPr="001513D5" w14:paraId="4EBBB4AB" w14:textId="77777777" w:rsidTr="00DF58BE">
        <w:tc>
          <w:tcPr>
            <w:tcW w:w="10070" w:type="dxa"/>
            <w:gridSpan w:val="3"/>
          </w:tcPr>
          <w:p w14:paraId="286413D2" w14:textId="77777777" w:rsidR="00A727D0" w:rsidRPr="001513D5" w:rsidRDefault="00A727D0" w:rsidP="004F4A1C">
            <w:pPr>
              <w:contextualSpacing/>
              <w:jc w:val="center"/>
              <w:rPr>
                <w:b/>
                <w:bCs/>
                <w:noProof/>
                <w:lang w:val="en-IE"/>
              </w:rPr>
            </w:pPr>
            <w:bookmarkStart w:id="3" w:name="_Hlk155349403"/>
            <w:r w:rsidRPr="001513D5">
              <w:rPr>
                <w:b/>
                <w:bCs/>
                <w:noProof/>
                <w:sz w:val="28"/>
                <w:szCs w:val="28"/>
                <w:lang w:val="en-IE"/>
              </w:rPr>
              <w:t xml:space="preserve">European </w:t>
            </w:r>
            <w:r w:rsidR="00713072">
              <w:rPr>
                <w:b/>
                <w:bCs/>
                <w:noProof/>
                <w:sz w:val="28"/>
                <w:szCs w:val="28"/>
                <w:lang w:val="en-IE"/>
              </w:rPr>
              <w:t xml:space="preserve">criteria for a European </w:t>
            </w:r>
            <w:r w:rsidR="00CD5313">
              <w:rPr>
                <w:b/>
                <w:bCs/>
                <w:noProof/>
                <w:sz w:val="28"/>
                <w:szCs w:val="28"/>
                <w:lang w:val="en-IE"/>
              </w:rPr>
              <w:t>d</w:t>
            </w:r>
            <w:r w:rsidRPr="001513D5">
              <w:rPr>
                <w:b/>
                <w:bCs/>
                <w:noProof/>
                <w:sz w:val="28"/>
                <w:szCs w:val="28"/>
                <w:lang w:val="en-IE"/>
              </w:rPr>
              <w:t xml:space="preserve">egree (label) </w:t>
            </w:r>
          </w:p>
        </w:tc>
        <w:tc>
          <w:tcPr>
            <w:tcW w:w="988" w:type="dxa"/>
          </w:tcPr>
          <w:p w14:paraId="2259165D" w14:textId="77777777" w:rsidR="00A727D0" w:rsidRPr="001513D5" w:rsidRDefault="00A727D0" w:rsidP="004F4A1C">
            <w:pPr>
              <w:contextualSpacing/>
              <w:jc w:val="center"/>
              <w:rPr>
                <w:b/>
                <w:bCs/>
                <w:noProof/>
                <w:lang w:val="en-IE"/>
              </w:rPr>
            </w:pPr>
            <w:r w:rsidRPr="001513D5">
              <w:rPr>
                <w:b/>
                <w:bCs/>
                <w:noProof/>
                <w:lang w:val="en-IE"/>
              </w:rPr>
              <w:t>EQF Levels</w:t>
            </w:r>
          </w:p>
        </w:tc>
      </w:tr>
      <w:tr w:rsidR="00A727D0" w:rsidRPr="001513D5" w14:paraId="00F99FCC" w14:textId="77777777" w:rsidTr="00DF58BE">
        <w:tc>
          <w:tcPr>
            <w:tcW w:w="1536" w:type="dxa"/>
            <w:vMerge w:val="restart"/>
          </w:tcPr>
          <w:p w14:paraId="120ED785" w14:textId="77777777" w:rsidR="00A727D0" w:rsidRPr="001513D5" w:rsidRDefault="00A727D0" w:rsidP="004F4A1C">
            <w:pPr>
              <w:contextualSpacing/>
              <w:jc w:val="center"/>
              <w:rPr>
                <w:noProof/>
                <w:lang w:val="en-IE"/>
              </w:rPr>
            </w:pPr>
            <w:r w:rsidRPr="001513D5">
              <w:rPr>
                <w:noProof/>
                <w:lang w:val="en-IE"/>
              </w:rPr>
              <w:t>Transnational programme organisation and management</w:t>
            </w:r>
          </w:p>
        </w:tc>
        <w:tc>
          <w:tcPr>
            <w:tcW w:w="1936" w:type="dxa"/>
          </w:tcPr>
          <w:p w14:paraId="5E6EC329" w14:textId="77777777" w:rsidR="00A727D0" w:rsidRPr="001513D5" w:rsidRDefault="00A727D0" w:rsidP="004F4A1C">
            <w:pPr>
              <w:spacing w:after="0"/>
              <w:contextualSpacing/>
              <w:jc w:val="center"/>
              <w:rPr>
                <w:noProof/>
                <w:lang w:val="fr-BE"/>
              </w:rPr>
            </w:pPr>
            <w:r w:rsidRPr="001513D5">
              <w:rPr>
                <w:noProof/>
                <w:lang w:val="fr-BE"/>
              </w:rPr>
              <w:t xml:space="preserve">Higher education institutions </w:t>
            </w:r>
          </w:p>
          <w:p w14:paraId="5A41DE6D" w14:textId="77777777" w:rsidR="00A727D0" w:rsidRPr="001513D5" w:rsidRDefault="00A727D0" w:rsidP="004F4A1C">
            <w:pPr>
              <w:contextualSpacing/>
              <w:jc w:val="center"/>
              <w:rPr>
                <w:noProof/>
                <w:lang w:val="fr-BE"/>
              </w:rPr>
            </w:pPr>
            <w:r w:rsidRPr="001513D5">
              <w:rPr>
                <w:noProof/>
                <w:lang w:val="fr-BE"/>
              </w:rPr>
              <w:t>involved</w:t>
            </w:r>
          </w:p>
        </w:tc>
        <w:tc>
          <w:tcPr>
            <w:tcW w:w="6598" w:type="dxa"/>
          </w:tcPr>
          <w:p w14:paraId="2BFECFF8" w14:textId="77777777" w:rsidR="00A727D0" w:rsidRPr="001513D5" w:rsidRDefault="6769C078" w:rsidP="004F4A1C">
            <w:pPr>
              <w:contextualSpacing/>
              <w:rPr>
                <w:noProof/>
                <w:lang w:val="en-IE"/>
              </w:rPr>
            </w:pPr>
            <w:r w:rsidRPr="40B22CF1">
              <w:rPr>
                <w:noProof/>
                <w:lang w:val="en-IE"/>
              </w:rPr>
              <w:t>The joint programme is offered by at least 2 higher education institutions from at least 2 different Member States.</w:t>
            </w:r>
          </w:p>
        </w:tc>
        <w:tc>
          <w:tcPr>
            <w:tcW w:w="988" w:type="dxa"/>
          </w:tcPr>
          <w:p w14:paraId="697D24CC" w14:textId="77777777" w:rsidR="00A727D0" w:rsidRPr="001513D5" w:rsidRDefault="00A727D0" w:rsidP="004F4A1C">
            <w:pPr>
              <w:contextualSpacing/>
              <w:jc w:val="center"/>
              <w:rPr>
                <w:noProof/>
                <w:lang w:val="en-IE"/>
              </w:rPr>
            </w:pPr>
            <w:r w:rsidRPr="001513D5">
              <w:rPr>
                <w:noProof/>
                <w:lang w:val="en-IE"/>
              </w:rPr>
              <w:t>6, 7, 8</w:t>
            </w:r>
          </w:p>
        </w:tc>
      </w:tr>
      <w:tr w:rsidR="00A727D0" w:rsidRPr="001513D5" w14:paraId="729135CB" w14:textId="77777777" w:rsidTr="00DF58BE">
        <w:tc>
          <w:tcPr>
            <w:tcW w:w="1536" w:type="dxa"/>
            <w:vMerge/>
          </w:tcPr>
          <w:p w14:paraId="037407FD" w14:textId="77777777" w:rsidR="00A727D0" w:rsidRPr="001513D5" w:rsidRDefault="00A727D0" w:rsidP="004F4A1C">
            <w:pPr>
              <w:contextualSpacing/>
              <w:jc w:val="center"/>
              <w:rPr>
                <w:noProof/>
                <w:lang w:val="en-IE"/>
              </w:rPr>
            </w:pPr>
          </w:p>
        </w:tc>
        <w:tc>
          <w:tcPr>
            <w:tcW w:w="1936" w:type="dxa"/>
            <w:vMerge w:val="restart"/>
          </w:tcPr>
          <w:p w14:paraId="15633534" w14:textId="77777777" w:rsidR="00A727D0" w:rsidRPr="001513D5" w:rsidRDefault="00A727D0" w:rsidP="004F4A1C">
            <w:pPr>
              <w:contextualSpacing/>
              <w:jc w:val="center"/>
              <w:rPr>
                <w:noProof/>
                <w:lang w:val="en-IE"/>
              </w:rPr>
            </w:pPr>
            <w:r w:rsidRPr="001513D5">
              <w:rPr>
                <w:noProof/>
                <w:lang w:val="en-IE"/>
              </w:rPr>
              <w:t>Transnational joint degree delivery</w:t>
            </w:r>
          </w:p>
        </w:tc>
        <w:tc>
          <w:tcPr>
            <w:tcW w:w="6598" w:type="dxa"/>
          </w:tcPr>
          <w:p w14:paraId="19FCC505" w14:textId="77777777" w:rsidR="00A727D0" w:rsidRPr="001513D5" w:rsidRDefault="00A727D0" w:rsidP="004F4A1C">
            <w:pPr>
              <w:contextualSpacing/>
              <w:rPr>
                <w:noProof/>
                <w:lang w:val="en-IE"/>
              </w:rPr>
            </w:pPr>
            <w:r w:rsidRPr="001513D5">
              <w:rPr>
                <w:noProof/>
                <w:lang w:val="en-IE"/>
              </w:rPr>
              <w:t>The joint programme is jointly designed and jointly delivered by all the higher education institutions involved.</w:t>
            </w:r>
          </w:p>
        </w:tc>
        <w:tc>
          <w:tcPr>
            <w:tcW w:w="988" w:type="dxa"/>
          </w:tcPr>
          <w:p w14:paraId="111F2312" w14:textId="77777777" w:rsidR="00A727D0" w:rsidRPr="001513D5" w:rsidRDefault="00A727D0" w:rsidP="004F4A1C">
            <w:pPr>
              <w:contextualSpacing/>
              <w:jc w:val="center"/>
              <w:rPr>
                <w:noProof/>
                <w:lang w:val="en-IE"/>
              </w:rPr>
            </w:pPr>
            <w:r w:rsidRPr="001513D5">
              <w:rPr>
                <w:noProof/>
                <w:lang w:val="en-IE"/>
              </w:rPr>
              <w:t>6, 7, 8</w:t>
            </w:r>
          </w:p>
        </w:tc>
      </w:tr>
      <w:tr w:rsidR="00A727D0" w:rsidRPr="001513D5" w14:paraId="29F91745" w14:textId="77777777" w:rsidTr="00DF58BE">
        <w:tc>
          <w:tcPr>
            <w:tcW w:w="1536" w:type="dxa"/>
            <w:vMerge/>
          </w:tcPr>
          <w:p w14:paraId="47C9B15A" w14:textId="77777777" w:rsidR="00A727D0" w:rsidRPr="001513D5" w:rsidRDefault="00A727D0" w:rsidP="004F4A1C">
            <w:pPr>
              <w:contextualSpacing/>
              <w:jc w:val="center"/>
              <w:rPr>
                <w:noProof/>
                <w:lang w:val="en-IE"/>
              </w:rPr>
            </w:pPr>
          </w:p>
        </w:tc>
        <w:tc>
          <w:tcPr>
            <w:tcW w:w="1936" w:type="dxa"/>
            <w:vMerge/>
          </w:tcPr>
          <w:p w14:paraId="1FA59872" w14:textId="77777777" w:rsidR="00A727D0" w:rsidRPr="001513D5" w:rsidRDefault="00A727D0" w:rsidP="004F4A1C">
            <w:pPr>
              <w:contextualSpacing/>
              <w:jc w:val="center"/>
              <w:rPr>
                <w:noProof/>
                <w:lang w:val="en-IE"/>
              </w:rPr>
            </w:pPr>
          </w:p>
        </w:tc>
        <w:tc>
          <w:tcPr>
            <w:tcW w:w="6598" w:type="dxa"/>
          </w:tcPr>
          <w:p w14:paraId="2ED62395" w14:textId="77777777" w:rsidR="00A727D0" w:rsidRPr="001513D5" w:rsidRDefault="5C4A5BD8" w:rsidP="004F4A1C">
            <w:pPr>
              <w:contextualSpacing/>
              <w:rPr>
                <w:noProof/>
                <w:lang w:val="en-IE"/>
              </w:rPr>
            </w:pPr>
            <w:r w:rsidRPr="59A29FBA">
              <w:rPr>
                <w:noProof/>
                <w:lang w:val="en-IE"/>
              </w:rPr>
              <w:t>The joint programme leads to the award of a joint degree</w:t>
            </w:r>
            <w:r w:rsidR="00713072">
              <w:rPr>
                <w:noProof/>
                <w:lang w:val="en-IE"/>
              </w:rPr>
              <w:t>.</w:t>
            </w:r>
          </w:p>
        </w:tc>
        <w:tc>
          <w:tcPr>
            <w:tcW w:w="988" w:type="dxa"/>
          </w:tcPr>
          <w:p w14:paraId="681FE09F" w14:textId="77777777" w:rsidR="00A727D0" w:rsidRPr="001513D5" w:rsidRDefault="00A727D0" w:rsidP="004F4A1C">
            <w:pPr>
              <w:contextualSpacing/>
              <w:jc w:val="center"/>
              <w:rPr>
                <w:noProof/>
                <w:lang w:val="en-IE"/>
              </w:rPr>
            </w:pPr>
            <w:r w:rsidRPr="001513D5">
              <w:rPr>
                <w:noProof/>
                <w:lang w:val="en-IE"/>
              </w:rPr>
              <w:t>6, 7, 8</w:t>
            </w:r>
          </w:p>
        </w:tc>
      </w:tr>
      <w:tr w:rsidR="00A727D0" w:rsidRPr="001513D5" w14:paraId="731E5B81" w14:textId="77777777" w:rsidTr="00DF58BE">
        <w:tc>
          <w:tcPr>
            <w:tcW w:w="1536" w:type="dxa"/>
            <w:vMerge/>
          </w:tcPr>
          <w:p w14:paraId="53FE6DEF" w14:textId="77777777" w:rsidR="00A727D0" w:rsidRPr="001513D5" w:rsidRDefault="00A727D0" w:rsidP="004F4A1C">
            <w:pPr>
              <w:contextualSpacing/>
              <w:jc w:val="center"/>
              <w:rPr>
                <w:noProof/>
                <w:lang w:val="en-IE"/>
              </w:rPr>
            </w:pPr>
          </w:p>
        </w:tc>
        <w:tc>
          <w:tcPr>
            <w:tcW w:w="1936" w:type="dxa"/>
            <w:vMerge/>
          </w:tcPr>
          <w:p w14:paraId="62CC48AE" w14:textId="77777777" w:rsidR="00A727D0" w:rsidRPr="001513D5" w:rsidRDefault="00A727D0" w:rsidP="004F4A1C">
            <w:pPr>
              <w:contextualSpacing/>
              <w:jc w:val="center"/>
              <w:rPr>
                <w:noProof/>
                <w:lang w:val="en-IE"/>
              </w:rPr>
            </w:pPr>
          </w:p>
        </w:tc>
        <w:tc>
          <w:tcPr>
            <w:tcW w:w="6598" w:type="dxa"/>
          </w:tcPr>
          <w:p w14:paraId="520D39C4" w14:textId="77777777" w:rsidR="00A727D0" w:rsidRPr="001513D5" w:rsidRDefault="5C4A5BD8" w:rsidP="004F4A1C">
            <w:pPr>
              <w:contextualSpacing/>
              <w:rPr>
                <w:noProof/>
                <w:lang w:val="en-IE"/>
              </w:rPr>
            </w:pPr>
            <w:r w:rsidRPr="59A29FBA">
              <w:rPr>
                <w:noProof/>
                <w:lang w:val="en-IE"/>
              </w:rPr>
              <w:t xml:space="preserve">A joint </w:t>
            </w:r>
            <w:r w:rsidR="0028337C">
              <w:rPr>
                <w:noProof/>
                <w:lang w:val="en-IE"/>
              </w:rPr>
              <w:t>D</w:t>
            </w:r>
            <w:r w:rsidRPr="59A29FBA">
              <w:rPr>
                <w:noProof/>
                <w:lang w:val="en-IE"/>
              </w:rPr>
              <w:t xml:space="preserve">iploma </w:t>
            </w:r>
            <w:r w:rsidR="0028337C">
              <w:rPr>
                <w:noProof/>
                <w:lang w:val="en-IE"/>
              </w:rPr>
              <w:t>S</w:t>
            </w:r>
            <w:r w:rsidRPr="59A29FBA">
              <w:rPr>
                <w:noProof/>
                <w:lang w:val="en-IE"/>
              </w:rPr>
              <w:t>upplement</w:t>
            </w:r>
            <w:r w:rsidR="00470A54">
              <w:rPr>
                <w:rStyle w:val="Allmrkuseviide"/>
                <w:noProof/>
                <w:lang w:val="en-IE"/>
              </w:rPr>
              <w:footnoteReference w:id="3"/>
            </w:r>
            <w:r w:rsidRPr="59A29FBA">
              <w:rPr>
                <w:noProof/>
                <w:lang w:val="en-IE"/>
              </w:rPr>
              <w:t xml:space="preserve"> is issued to students</w:t>
            </w:r>
            <w:r w:rsidR="0090465D">
              <w:rPr>
                <w:noProof/>
                <w:lang w:val="en-IE"/>
              </w:rPr>
              <w:t>.</w:t>
            </w:r>
          </w:p>
        </w:tc>
        <w:tc>
          <w:tcPr>
            <w:tcW w:w="988" w:type="dxa"/>
          </w:tcPr>
          <w:p w14:paraId="606DE606" w14:textId="77777777" w:rsidR="00A727D0" w:rsidRPr="001513D5" w:rsidRDefault="00A727D0" w:rsidP="004F4A1C">
            <w:pPr>
              <w:contextualSpacing/>
              <w:jc w:val="center"/>
              <w:rPr>
                <w:noProof/>
                <w:lang w:val="en-IE"/>
              </w:rPr>
            </w:pPr>
            <w:r w:rsidRPr="001513D5">
              <w:rPr>
                <w:noProof/>
                <w:lang w:val="en-IE"/>
              </w:rPr>
              <w:t>6, 7</w:t>
            </w:r>
          </w:p>
        </w:tc>
      </w:tr>
      <w:tr w:rsidR="00A727D0" w:rsidRPr="001513D5" w14:paraId="5AE4D0F5" w14:textId="77777777" w:rsidTr="00DF58BE">
        <w:tc>
          <w:tcPr>
            <w:tcW w:w="1536" w:type="dxa"/>
            <w:vMerge/>
          </w:tcPr>
          <w:p w14:paraId="6EA95035" w14:textId="77777777" w:rsidR="00A727D0" w:rsidRPr="001513D5" w:rsidRDefault="00A727D0" w:rsidP="004F4A1C">
            <w:pPr>
              <w:contextualSpacing/>
              <w:jc w:val="center"/>
              <w:rPr>
                <w:noProof/>
                <w:lang w:val="en-IE"/>
              </w:rPr>
            </w:pPr>
          </w:p>
        </w:tc>
        <w:tc>
          <w:tcPr>
            <w:tcW w:w="1936" w:type="dxa"/>
            <w:vMerge/>
          </w:tcPr>
          <w:p w14:paraId="7076F444" w14:textId="77777777" w:rsidR="00A727D0" w:rsidRPr="001513D5" w:rsidRDefault="00A727D0" w:rsidP="004F4A1C">
            <w:pPr>
              <w:contextualSpacing/>
              <w:jc w:val="center"/>
              <w:rPr>
                <w:noProof/>
                <w:lang w:val="en-IE"/>
              </w:rPr>
            </w:pPr>
          </w:p>
        </w:tc>
        <w:tc>
          <w:tcPr>
            <w:tcW w:w="6598" w:type="dxa"/>
          </w:tcPr>
          <w:p w14:paraId="1E85CE04" w14:textId="77777777" w:rsidR="00A727D0" w:rsidRPr="001513D5" w:rsidRDefault="00A727D0" w:rsidP="004F4A1C">
            <w:pPr>
              <w:contextualSpacing/>
              <w:rPr>
                <w:noProof/>
                <w:lang w:val="en-IE"/>
              </w:rPr>
            </w:pPr>
            <w:r w:rsidRPr="001513D5">
              <w:rPr>
                <w:noProof/>
                <w:lang w:val="en-IE"/>
              </w:rPr>
              <w:t>The joint programme describes the learning outcomes and credits in line with the ECTS Users Guide.</w:t>
            </w:r>
          </w:p>
        </w:tc>
        <w:tc>
          <w:tcPr>
            <w:tcW w:w="988" w:type="dxa"/>
          </w:tcPr>
          <w:p w14:paraId="0E3D25EE" w14:textId="77777777" w:rsidR="00A727D0" w:rsidRPr="001513D5" w:rsidRDefault="00A727D0" w:rsidP="004F4A1C">
            <w:pPr>
              <w:contextualSpacing/>
              <w:jc w:val="center"/>
              <w:rPr>
                <w:noProof/>
                <w:lang w:val="en-IE"/>
              </w:rPr>
            </w:pPr>
            <w:r w:rsidRPr="001513D5">
              <w:rPr>
                <w:noProof/>
                <w:lang w:val="en-IE"/>
              </w:rPr>
              <w:t>6, 7</w:t>
            </w:r>
          </w:p>
        </w:tc>
      </w:tr>
      <w:tr w:rsidR="00A727D0" w:rsidRPr="001513D5" w14:paraId="322E81EE" w14:textId="77777777" w:rsidTr="00DF58BE">
        <w:trPr>
          <w:trHeight w:val="1117"/>
        </w:trPr>
        <w:tc>
          <w:tcPr>
            <w:tcW w:w="1536" w:type="dxa"/>
            <w:vMerge/>
          </w:tcPr>
          <w:p w14:paraId="17313B5F" w14:textId="77777777" w:rsidR="00A727D0" w:rsidRPr="001513D5" w:rsidRDefault="00A727D0" w:rsidP="004F4A1C">
            <w:pPr>
              <w:contextualSpacing/>
              <w:jc w:val="center"/>
              <w:rPr>
                <w:noProof/>
                <w:lang w:val="en-IE"/>
              </w:rPr>
            </w:pPr>
          </w:p>
        </w:tc>
        <w:tc>
          <w:tcPr>
            <w:tcW w:w="1936" w:type="dxa"/>
          </w:tcPr>
          <w:p w14:paraId="56BF625C" w14:textId="77777777" w:rsidR="00A727D0" w:rsidRPr="001513D5" w:rsidRDefault="00A727D0" w:rsidP="004F4A1C">
            <w:pPr>
              <w:contextualSpacing/>
              <w:jc w:val="center"/>
              <w:rPr>
                <w:noProof/>
                <w:lang w:val="en-IE"/>
              </w:rPr>
            </w:pPr>
            <w:r w:rsidRPr="001513D5">
              <w:rPr>
                <w:noProof/>
                <w:lang w:val="en-IE"/>
              </w:rPr>
              <w:t>Joint arrangements for the joint programme</w:t>
            </w:r>
          </w:p>
        </w:tc>
        <w:tc>
          <w:tcPr>
            <w:tcW w:w="6598" w:type="dxa"/>
          </w:tcPr>
          <w:p w14:paraId="072D3BC4" w14:textId="77777777" w:rsidR="00A727D0" w:rsidRPr="001513D5" w:rsidRDefault="5C4A5BD8" w:rsidP="004F4A1C">
            <w:pPr>
              <w:contextualSpacing/>
              <w:rPr>
                <w:noProof/>
                <w:lang w:val="en-IE"/>
              </w:rPr>
            </w:pPr>
            <w:bookmarkStart w:id="4" w:name="_Hlk158812292"/>
            <w:r w:rsidRPr="59A29FBA">
              <w:rPr>
                <w:noProof/>
                <w:lang w:val="en-IE"/>
              </w:rPr>
              <w:t xml:space="preserve">The joint programme has joint policies, procedures </w:t>
            </w:r>
            <w:r w:rsidR="003E37F9">
              <w:rPr>
                <w:noProof/>
                <w:lang w:val="en-IE"/>
              </w:rPr>
              <w:t>and/</w:t>
            </w:r>
            <w:r w:rsidRPr="59A29FBA">
              <w:rPr>
                <w:noProof/>
                <w:lang w:val="en-IE"/>
              </w:rPr>
              <w:t xml:space="preserve">or arrangements </w:t>
            </w:r>
            <w:r w:rsidR="003E37F9">
              <w:rPr>
                <w:noProof/>
                <w:lang w:val="en-IE"/>
              </w:rPr>
              <w:t xml:space="preserve">defining </w:t>
            </w:r>
            <w:r w:rsidRPr="59A29FBA">
              <w:rPr>
                <w:noProof/>
                <w:lang w:val="en-IE"/>
              </w:rPr>
              <w:t>curriculum planning and delivery, as well as all organisational and administrative matters</w:t>
            </w:r>
            <w:bookmarkEnd w:id="4"/>
            <w:r w:rsidRPr="59A29FBA">
              <w:rPr>
                <w:noProof/>
                <w:lang w:val="en-IE"/>
              </w:rPr>
              <w:t>.</w:t>
            </w:r>
          </w:p>
          <w:p w14:paraId="6D5A8799" w14:textId="77777777" w:rsidR="00A727D0" w:rsidRPr="001513D5" w:rsidRDefault="5C4A5BD8" w:rsidP="004F4A1C">
            <w:pPr>
              <w:contextualSpacing/>
              <w:rPr>
                <w:noProof/>
                <w:lang w:val="en-IE"/>
              </w:rPr>
            </w:pPr>
            <w:r w:rsidRPr="59A29FBA">
              <w:rPr>
                <w:noProof/>
                <w:lang w:val="en-IE"/>
              </w:rPr>
              <w:t xml:space="preserve">Students’ representatives are part of the decision-making process </w:t>
            </w:r>
            <w:r w:rsidR="6BB0DBF3" w:rsidRPr="59A29FBA">
              <w:rPr>
                <w:noProof/>
                <w:lang w:val="en-IE"/>
              </w:rPr>
              <w:t xml:space="preserve"> </w:t>
            </w:r>
            <w:r w:rsidR="003E37F9">
              <w:rPr>
                <w:noProof/>
                <w:lang w:val="en-IE"/>
              </w:rPr>
              <w:t>to define</w:t>
            </w:r>
            <w:r w:rsidRPr="59A29FBA">
              <w:rPr>
                <w:noProof/>
                <w:lang w:val="en-IE"/>
              </w:rPr>
              <w:t xml:space="preserve"> the joint policies and procedures</w:t>
            </w:r>
            <w:r>
              <w:rPr>
                <w:noProof/>
              </w:rPr>
              <w:t xml:space="preserve"> </w:t>
            </w:r>
            <w:r w:rsidR="003E37F9">
              <w:rPr>
                <w:noProof/>
                <w:lang w:val="en-IE"/>
              </w:rPr>
              <w:t>and/</w:t>
            </w:r>
            <w:r w:rsidRPr="59A29FBA">
              <w:rPr>
                <w:noProof/>
                <w:lang w:val="en-IE"/>
              </w:rPr>
              <w:t>or arrangements.</w:t>
            </w:r>
          </w:p>
        </w:tc>
        <w:tc>
          <w:tcPr>
            <w:tcW w:w="988" w:type="dxa"/>
          </w:tcPr>
          <w:p w14:paraId="4510D7AB" w14:textId="77777777" w:rsidR="00A727D0" w:rsidRPr="001513D5" w:rsidRDefault="00A727D0" w:rsidP="004F4A1C">
            <w:pPr>
              <w:contextualSpacing/>
              <w:jc w:val="center"/>
              <w:rPr>
                <w:noProof/>
                <w:lang w:val="en-IE"/>
              </w:rPr>
            </w:pPr>
            <w:r w:rsidRPr="001513D5">
              <w:rPr>
                <w:noProof/>
                <w:lang w:val="en-IE"/>
              </w:rPr>
              <w:t>6, 7, 8</w:t>
            </w:r>
          </w:p>
        </w:tc>
      </w:tr>
      <w:tr w:rsidR="00A727D0" w:rsidRPr="001513D5" w14:paraId="679E2282" w14:textId="77777777" w:rsidTr="00DF58BE">
        <w:trPr>
          <w:trHeight w:val="836"/>
        </w:trPr>
        <w:tc>
          <w:tcPr>
            <w:tcW w:w="1536" w:type="dxa"/>
            <w:vMerge/>
          </w:tcPr>
          <w:p w14:paraId="3D3B53E3" w14:textId="77777777" w:rsidR="00A727D0" w:rsidRPr="001513D5" w:rsidRDefault="00A727D0" w:rsidP="004F4A1C">
            <w:pPr>
              <w:contextualSpacing/>
              <w:jc w:val="center"/>
              <w:rPr>
                <w:noProof/>
                <w:lang w:val="en-IE"/>
              </w:rPr>
            </w:pPr>
          </w:p>
        </w:tc>
        <w:tc>
          <w:tcPr>
            <w:tcW w:w="1936" w:type="dxa"/>
            <w:vMerge w:val="restart"/>
          </w:tcPr>
          <w:p w14:paraId="280E0FCC" w14:textId="77777777" w:rsidR="00A727D0" w:rsidRPr="001513D5" w:rsidRDefault="00A727D0" w:rsidP="004F4A1C">
            <w:pPr>
              <w:contextualSpacing/>
              <w:jc w:val="center"/>
              <w:rPr>
                <w:noProof/>
                <w:lang w:val="en-IE"/>
              </w:rPr>
            </w:pPr>
            <w:r w:rsidRPr="001513D5">
              <w:rPr>
                <w:noProof/>
                <w:lang w:val="en-IE"/>
              </w:rPr>
              <w:t>Quality assurance arrangements</w:t>
            </w:r>
          </w:p>
        </w:tc>
        <w:tc>
          <w:tcPr>
            <w:tcW w:w="6598" w:type="dxa"/>
          </w:tcPr>
          <w:p w14:paraId="3E80C0E7" w14:textId="77777777" w:rsidR="00A727D0" w:rsidRPr="001513D5" w:rsidRDefault="5C4A5BD8" w:rsidP="004F4A1C">
            <w:pPr>
              <w:contextualSpacing/>
              <w:rPr>
                <w:noProof/>
                <w:lang w:val="en-IE"/>
              </w:rPr>
            </w:pPr>
            <w:r w:rsidRPr="59A29FBA">
              <w:rPr>
                <w:noProof/>
                <w:lang w:val="en-IE"/>
              </w:rPr>
              <w:t xml:space="preserve">Internal and external Quality Assurance is conducted in accordance with the Standards and Guidelines for Quality Assurance in the European Higher Education Area (ESG). The </w:t>
            </w:r>
            <w:r w:rsidR="003E37F9">
              <w:rPr>
                <w:noProof/>
                <w:lang w:val="en-IE"/>
              </w:rPr>
              <w:t xml:space="preserve">higher education </w:t>
            </w:r>
            <w:r w:rsidRPr="003E37F9">
              <w:rPr>
                <w:noProof/>
                <w:lang w:val="en-IE"/>
              </w:rPr>
              <w:t>institutions,</w:t>
            </w:r>
            <w:r w:rsidRPr="59A29FBA">
              <w:rPr>
                <w:noProof/>
                <w:lang w:val="en-IE"/>
              </w:rPr>
              <w:t xml:space="preserve"> the study field or the programme are evaluated by an EQAR registered agency.</w:t>
            </w:r>
          </w:p>
        </w:tc>
        <w:tc>
          <w:tcPr>
            <w:tcW w:w="988" w:type="dxa"/>
          </w:tcPr>
          <w:p w14:paraId="6C7535CE" w14:textId="77777777" w:rsidR="00A727D0" w:rsidRPr="001513D5" w:rsidRDefault="00A727D0" w:rsidP="004F4A1C">
            <w:pPr>
              <w:contextualSpacing/>
              <w:jc w:val="center"/>
              <w:rPr>
                <w:noProof/>
                <w:lang w:val="en-IE"/>
              </w:rPr>
            </w:pPr>
            <w:r w:rsidRPr="001513D5">
              <w:rPr>
                <w:noProof/>
                <w:lang w:val="en-IE"/>
              </w:rPr>
              <w:t>6, 7, 8</w:t>
            </w:r>
          </w:p>
        </w:tc>
      </w:tr>
      <w:tr w:rsidR="00A727D0" w:rsidRPr="001513D5" w14:paraId="1041962E" w14:textId="77777777" w:rsidTr="00DF58BE">
        <w:trPr>
          <w:trHeight w:val="663"/>
        </w:trPr>
        <w:tc>
          <w:tcPr>
            <w:tcW w:w="1536" w:type="dxa"/>
            <w:vMerge/>
          </w:tcPr>
          <w:p w14:paraId="389ECD0A" w14:textId="77777777" w:rsidR="00A727D0" w:rsidRPr="001513D5" w:rsidRDefault="00A727D0" w:rsidP="004F4A1C">
            <w:pPr>
              <w:contextualSpacing/>
              <w:jc w:val="center"/>
              <w:rPr>
                <w:noProof/>
                <w:lang w:val="en-IE"/>
              </w:rPr>
            </w:pPr>
          </w:p>
        </w:tc>
        <w:tc>
          <w:tcPr>
            <w:tcW w:w="1936" w:type="dxa"/>
            <w:vMerge/>
          </w:tcPr>
          <w:p w14:paraId="3F2CBD1E" w14:textId="77777777" w:rsidR="00A727D0" w:rsidRPr="001513D5" w:rsidRDefault="00A727D0" w:rsidP="004F4A1C">
            <w:pPr>
              <w:contextualSpacing/>
              <w:jc w:val="center"/>
              <w:rPr>
                <w:noProof/>
                <w:lang w:val="en-IE"/>
              </w:rPr>
            </w:pPr>
          </w:p>
        </w:tc>
        <w:tc>
          <w:tcPr>
            <w:tcW w:w="6598" w:type="dxa"/>
          </w:tcPr>
          <w:p w14:paraId="3260027D" w14:textId="77777777" w:rsidR="00A727D0" w:rsidRPr="001513D5" w:rsidRDefault="00A727D0" w:rsidP="004F4A1C">
            <w:pPr>
              <w:contextualSpacing/>
              <w:rPr>
                <w:noProof/>
                <w:lang w:val="en-IE"/>
              </w:rPr>
            </w:pPr>
            <w:r w:rsidRPr="001513D5">
              <w:rPr>
                <w:noProof/>
                <w:lang w:val="en-IE"/>
              </w:rPr>
              <w:t>The joint programme is evaluated using the standards of the European approach for quality assurance of joint programmes (EA).</w:t>
            </w:r>
          </w:p>
        </w:tc>
        <w:tc>
          <w:tcPr>
            <w:tcW w:w="988" w:type="dxa"/>
          </w:tcPr>
          <w:p w14:paraId="284C400A" w14:textId="77777777" w:rsidR="00A727D0" w:rsidRPr="001513D5" w:rsidRDefault="00A727D0" w:rsidP="004F4A1C">
            <w:pPr>
              <w:contextualSpacing/>
              <w:jc w:val="center"/>
              <w:rPr>
                <w:noProof/>
                <w:lang w:val="en-IE"/>
              </w:rPr>
            </w:pPr>
            <w:r w:rsidRPr="001513D5">
              <w:rPr>
                <w:noProof/>
                <w:lang w:val="en-IE"/>
              </w:rPr>
              <w:t>6, 7, 8</w:t>
            </w:r>
          </w:p>
        </w:tc>
      </w:tr>
      <w:tr w:rsidR="00A727D0" w:rsidRPr="001513D5" w14:paraId="2E766625" w14:textId="77777777" w:rsidTr="00DF58BE">
        <w:trPr>
          <w:trHeight w:val="663"/>
        </w:trPr>
        <w:tc>
          <w:tcPr>
            <w:tcW w:w="1536" w:type="dxa"/>
            <w:vMerge/>
          </w:tcPr>
          <w:p w14:paraId="3F2B0E52" w14:textId="77777777" w:rsidR="00A727D0" w:rsidRPr="001513D5" w:rsidRDefault="00A727D0" w:rsidP="004F4A1C">
            <w:pPr>
              <w:contextualSpacing/>
              <w:jc w:val="center"/>
              <w:rPr>
                <w:noProof/>
                <w:lang w:val="en-IE"/>
              </w:rPr>
            </w:pPr>
          </w:p>
        </w:tc>
        <w:tc>
          <w:tcPr>
            <w:tcW w:w="1936" w:type="dxa"/>
          </w:tcPr>
          <w:p w14:paraId="71D12EB0" w14:textId="77777777" w:rsidR="00A727D0" w:rsidRPr="001513D5" w:rsidRDefault="00A727D0" w:rsidP="004F4A1C">
            <w:pPr>
              <w:contextualSpacing/>
              <w:jc w:val="center"/>
              <w:rPr>
                <w:noProof/>
                <w:lang w:val="en-IE"/>
              </w:rPr>
            </w:pPr>
            <w:r w:rsidRPr="001513D5">
              <w:rPr>
                <w:noProof/>
                <w:lang w:val="en-IE"/>
              </w:rPr>
              <w:t>Graduate tracking</w:t>
            </w:r>
          </w:p>
        </w:tc>
        <w:tc>
          <w:tcPr>
            <w:tcW w:w="6598" w:type="dxa"/>
          </w:tcPr>
          <w:p w14:paraId="00F8FA0C" w14:textId="77777777" w:rsidR="00A727D0" w:rsidRPr="001513D5" w:rsidRDefault="00A727D0" w:rsidP="004F4A1C">
            <w:pPr>
              <w:contextualSpacing/>
              <w:rPr>
                <w:noProof/>
                <w:lang w:val="en-IE"/>
              </w:rPr>
            </w:pPr>
            <w:r w:rsidRPr="001513D5">
              <w:rPr>
                <w:noProof/>
                <w:lang w:val="en-IE"/>
              </w:rPr>
              <w:t>The joint programme monitors graduates through a graduate tracking system.</w:t>
            </w:r>
          </w:p>
        </w:tc>
        <w:tc>
          <w:tcPr>
            <w:tcW w:w="988" w:type="dxa"/>
          </w:tcPr>
          <w:p w14:paraId="6A9D453F" w14:textId="77777777" w:rsidR="00A727D0" w:rsidRPr="001513D5" w:rsidRDefault="00A727D0" w:rsidP="004F4A1C">
            <w:pPr>
              <w:contextualSpacing/>
              <w:jc w:val="center"/>
              <w:rPr>
                <w:noProof/>
                <w:lang w:val="en-IE"/>
              </w:rPr>
            </w:pPr>
            <w:r w:rsidRPr="001513D5">
              <w:rPr>
                <w:noProof/>
                <w:lang w:val="en-IE"/>
              </w:rPr>
              <w:t>6, 7, 8</w:t>
            </w:r>
          </w:p>
        </w:tc>
      </w:tr>
      <w:tr w:rsidR="00A727D0" w:rsidRPr="001513D5" w14:paraId="245E83A7" w14:textId="77777777" w:rsidTr="00DF58BE">
        <w:tc>
          <w:tcPr>
            <w:tcW w:w="1536" w:type="dxa"/>
            <w:vMerge w:val="restart"/>
          </w:tcPr>
          <w:p w14:paraId="0F3959BC" w14:textId="77777777" w:rsidR="00A727D0" w:rsidRPr="001513D5" w:rsidRDefault="00A727D0" w:rsidP="004F4A1C">
            <w:pPr>
              <w:contextualSpacing/>
              <w:jc w:val="center"/>
              <w:rPr>
                <w:noProof/>
                <w:lang w:val="en-IE"/>
              </w:rPr>
            </w:pPr>
            <w:r w:rsidRPr="001513D5">
              <w:rPr>
                <w:noProof/>
                <w:lang w:val="en-IE"/>
              </w:rPr>
              <w:t>Learning experience</w:t>
            </w:r>
          </w:p>
        </w:tc>
        <w:tc>
          <w:tcPr>
            <w:tcW w:w="1936" w:type="dxa"/>
          </w:tcPr>
          <w:p w14:paraId="26342EEE" w14:textId="77777777" w:rsidR="00A727D0" w:rsidRPr="001513D5" w:rsidRDefault="00A727D0" w:rsidP="004F4A1C">
            <w:pPr>
              <w:contextualSpacing/>
              <w:jc w:val="center"/>
              <w:rPr>
                <w:noProof/>
                <w:lang w:val="en-IE"/>
              </w:rPr>
            </w:pPr>
            <w:r w:rsidRPr="001513D5">
              <w:rPr>
                <w:noProof/>
                <w:lang w:val="en-IE"/>
              </w:rPr>
              <w:t xml:space="preserve">Student-centred learning </w:t>
            </w:r>
          </w:p>
        </w:tc>
        <w:tc>
          <w:tcPr>
            <w:tcW w:w="6598" w:type="dxa"/>
          </w:tcPr>
          <w:p w14:paraId="3AF92BB1" w14:textId="77777777" w:rsidR="00A727D0" w:rsidRPr="001513D5" w:rsidRDefault="00A727D0" w:rsidP="004F4A1C">
            <w:pPr>
              <w:contextualSpacing/>
              <w:rPr>
                <w:noProof/>
                <w:lang w:val="en-IE"/>
              </w:rPr>
            </w:pPr>
            <w:r w:rsidRPr="001513D5">
              <w:rPr>
                <w:noProof/>
                <w:lang w:val="en-IE"/>
              </w:rPr>
              <w:t>The joint programme is designed and continuously enhanced and delivered in a way that encourages students to take an active role in the learning process. Assessment of students reflects this approach.</w:t>
            </w:r>
          </w:p>
        </w:tc>
        <w:tc>
          <w:tcPr>
            <w:tcW w:w="988" w:type="dxa"/>
          </w:tcPr>
          <w:p w14:paraId="040DE6DE" w14:textId="77777777" w:rsidR="00A727D0" w:rsidRPr="001513D5" w:rsidRDefault="00A727D0" w:rsidP="004F4A1C">
            <w:pPr>
              <w:contextualSpacing/>
              <w:jc w:val="center"/>
              <w:rPr>
                <w:noProof/>
                <w:lang w:val="en-IE"/>
              </w:rPr>
            </w:pPr>
            <w:r w:rsidRPr="001513D5">
              <w:rPr>
                <w:noProof/>
                <w:lang w:val="en-IE"/>
              </w:rPr>
              <w:t>6, 7, 8</w:t>
            </w:r>
          </w:p>
        </w:tc>
      </w:tr>
      <w:tr w:rsidR="00A727D0" w:rsidRPr="001513D5" w14:paraId="67EF00B7" w14:textId="77777777" w:rsidTr="00DF58BE">
        <w:tc>
          <w:tcPr>
            <w:tcW w:w="1536" w:type="dxa"/>
            <w:vMerge/>
          </w:tcPr>
          <w:p w14:paraId="58ED6F90" w14:textId="77777777" w:rsidR="00A727D0" w:rsidRPr="001513D5" w:rsidRDefault="00A727D0" w:rsidP="004F4A1C">
            <w:pPr>
              <w:contextualSpacing/>
              <w:jc w:val="center"/>
              <w:rPr>
                <w:noProof/>
                <w:lang w:val="en-IE"/>
              </w:rPr>
            </w:pPr>
          </w:p>
        </w:tc>
        <w:tc>
          <w:tcPr>
            <w:tcW w:w="1936" w:type="dxa"/>
          </w:tcPr>
          <w:p w14:paraId="27DDD59C" w14:textId="77777777" w:rsidR="00A727D0" w:rsidRPr="001513D5" w:rsidRDefault="00A727D0" w:rsidP="004F4A1C">
            <w:pPr>
              <w:contextualSpacing/>
              <w:jc w:val="center"/>
              <w:rPr>
                <w:noProof/>
                <w:lang w:val="en-IE"/>
              </w:rPr>
            </w:pPr>
            <w:r w:rsidRPr="001513D5">
              <w:rPr>
                <w:noProof/>
                <w:lang w:val="en-IE"/>
              </w:rPr>
              <w:t xml:space="preserve">Interdisciplinarity </w:t>
            </w:r>
          </w:p>
        </w:tc>
        <w:tc>
          <w:tcPr>
            <w:tcW w:w="6598" w:type="dxa"/>
          </w:tcPr>
          <w:p w14:paraId="0458838A" w14:textId="77777777" w:rsidR="00A727D0" w:rsidRPr="001513D5" w:rsidRDefault="00A727D0" w:rsidP="004F4A1C">
            <w:pPr>
              <w:contextualSpacing/>
              <w:rPr>
                <w:noProof/>
                <w:lang w:val="en-IE"/>
              </w:rPr>
            </w:pPr>
            <w:r w:rsidRPr="001513D5">
              <w:rPr>
                <w:noProof/>
                <w:lang w:val="en-IE"/>
              </w:rPr>
              <w:t>The joint programme includes embedded interdisciplinarity components.</w:t>
            </w:r>
          </w:p>
        </w:tc>
        <w:tc>
          <w:tcPr>
            <w:tcW w:w="988" w:type="dxa"/>
          </w:tcPr>
          <w:p w14:paraId="52BAEBA5" w14:textId="77777777" w:rsidR="00A727D0" w:rsidRPr="001513D5" w:rsidRDefault="00A727D0" w:rsidP="004F4A1C">
            <w:pPr>
              <w:contextualSpacing/>
              <w:jc w:val="center"/>
              <w:rPr>
                <w:noProof/>
                <w:lang w:val="en-IE"/>
              </w:rPr>
            </w:pPr>
            <w:r w:rsidRPr="001513D5">
              <w:rPr>
                <w:noProof/>
                <w:lang w:val="en-IE"/>
              </w:rPr>
              <w:t>6, 7, 8</w:t>
            </w:r>
          </w:p>
        </w:tc>
      </w:tr>
      <w:tr w:rsidR="00A727D0" w:rsidRPr="001513D5" w14:paraId="761A34D5" w14:textId="77777777" w:rsidTr="00DF58BE">
        <w:tc>
          <w:tcPr>
            <w:tcW w:w="1536" w:type="dxa"/>
            <w:vMerge/>
          </w:tcPr>
          <w:p w14:paraId="56FB5C46" w14:textId="77777777" w:rsidR="00A727D0" w:rsidRPr="001513D5" w:rsidRDefault="00A727D0" w:rsidP="004F4A1C">
            <w:pPr>
              <w:contextualSpacing/>
              <w:jc w:val="center"/>
              <w:rPr>
                <w:noProof/>
                <w:lang w:val="en-IE"/>
              </w:rPr>
            </w:pPr>
          </w:p>
        </w:tc>
        <w:tc>
          <w:tcPr>
            <w:tcW w:w="1936" w:type="dxa"/>
          </w:tcPr>
          <w:p w14:paraId="040FC393" w14:textId="77777777" w:rsidR="00A727D0" w:rsidRPr="001513D5" w:rsidRDefault="00A727D0" w:rsidP="004F4A1C">
            <w:pPr>
              <w:contextualSpacing/>
              <w:jc w:val="center"/>
              <w:rPr>
                <w:noProof/>
                <w:lang w:val="en-IE"/>
              </w:rPr>
            </w:pPr>
            <w:r w:rsidRPr="001513D5">
              <w:rPr>
                <w:noProof/>
                <w:lang w:val="en-IE"/>
              </w:rPr>
              <w:t>Labour market relevance</w:t>
            </w:r>
          </w:p>
        </w:tc>
        <w:tc>
          <w:tcPr>
            <w:tcW w:w="6598" w:type="dxa"/>
          </w:tcPr>
          <w:p w14:paraId="6BCE7F38" w14:textId="65119100" w:rsidR="00A727D0" w:rsidRPr="001513D5" w:rsidRDefault="00A727D0" w:rsidP="004F4A1C">
            <w:pPr>
              <w:contextualSpacing/>
              <w:rPr>
                <w:noProof/>
                <w:lang w:val="en-IE"/>
              </w:rPr>
            </w:pPr>
            <w:r w:rsidRPr="001513D5">
              <w:rPr>
                <w:noProof/>
                <w:lang w:val="en-IE"/>
              </w:rPr>
              <w:t>The joint programme aligns with labour market requirements by incorporating intersectoral components or activities</w:t>
            </w:r>
            <w:r>
              <w:rPr>
                <w:rStyle w:val="Allmrkuseviide"/>
                <w:noProof/>
                <w:lang w:val="en-IE"/>
              </w:rPr>
              <w:footnoteReference w:id="4"/>
            </w:r>
            <w:r w:rsidRPr="001513D5">
              <w:rPr>
                <w:noProof/>
                <w:lang w:val="en-IE"/>
              </w:rPr>
              <w:t xml:space="preserve"> and the development of transversal skills.</w:t>
            </w:r>
          </w:p>
        </w:tc>
        <w:tc>
          <w:tcPr>
            <w:tcW w:w="988" w:type="dxa"/>
          </w:tcPr>
          <w:p w14:paraId="6BF3769C" w14:textId="77777777" w:rsidR="00A727D0" w:rsidRPr="001513D5" w:rsidRDefault="00A727D0" w:rsidP="004F4A1C">
            <w:pPr>
              <w:contextualSpacing/>
              <w:jc w:val="center"/>
              <w:rPr>
                <w:noProof/>
                <w:lang w:val="en-IE"/>
              </w:rPr>
            </w:pPr>
            <w:r w:rsidRPr="001513D5">
              <w:rPr>
                <w:noProof/>
                <w:lang w:val="en-IE"/>
              </w:rPr>
              <w:t>6, 7, 8</w:t>
            </w:r>
          </w:p>
        </w:tc>
      </w:tr>
      <w:tr w:rsidR="00A727D0" w:rsidRPr="001513D5" w14:paraId="3A7AD7FE" w14:textId="77777777" w:rsidTr="00DF58BE">
        <w:tc>
          <w:tcPr>
            <w:tcW w:w="1536" w:type="dxa"/>
            <w:vMerge/>
          </w:tcPr>
          <w:p w14:paraId="6669BA73" w14:textId="77777777" w:rsidR="00A727D0" w:rsidRPr="001513D5" w:rsidRDefault="00A727D0" w:rsidP="004F4A1C">
            <w:pPr>
              <w:contextualSpacing/>
              <w:jc w:val="center"/>
              <w:rPr>
                <w:noProof/>
                <w:lang w:val="en-IE"/>
              </w:rPr>
            </w:pPr>
          </w:p>
        </w:tc>
        <w:tc>
          <w:tcPr>
            <w:tcW w:w="1936" w:type="dxa"/>
          </w:tcPr>
          <w:p w14:paraId="0122BD5A" w14:textId="77777777" w:rsidR="00A727D0" w:rsidRPr="001513D5" w:rsidRDefault="00A727D0" w:rsidP="004F4A1C">
            <w:pPr>
              <w:contextualSpacing/>
              <w:jc w:val="center"/>
              <w:rPr>
                <w:noProof/>
                <w:lang w:val="en-IE"/>
              </w:rPr>
            </w:pPr>
            <w:r w:rsidRPr="001513D5">
              <w:rPr>
                <w:noProof/>
                <w:lang w:val="en-IE"/>
              </w:rPr>
              <w:t>Digital skills</w:t>
            </w:r>
          </w:p>
        </w:tc>
        <w:tc>
          <w:tcPr>
            <w:tcW w:w="6598" w:type="dxa"/>
          </w:tcPr>
          <w:p w14:paraId="2CC6C491" w14:textId="77777777" w:rsidR="00A727D0" w:rsidRPr="001513D5" w:rsidRDefault="5C4A5BD8" w:rsidP="004F4A1C">
            <w:pPr>
              <w:contextualSpacing/>
              <w:rPr>
                <w:noProof/>
                <w:lang w:val="en-IE"/>
              </w:rPr>
            </w:pPr>
            <w:r w:rsidRPr="59A29FBA">
              <w:rPr>
                <w:noProof/>
                <w:lang w:val="en-IE"/>
              </w:rPr>
              <w:t xml:space="preserve">The joint programme includes components and actions related to the development of advanced digital skills of students, tailored to the capacities and circumstances of the joint </w:t>
            </w:r>
            <w:r w:rsidRPr="003E37F9">
              <w:rPr>
                <w:noProof/>
                <w:lang w:val="en-IE"/>
              </w:rPr>
              <w:t>programme, ensuring alignment with its scope and scholarly focus.</w:t>
            </w:r>
          </w:p>
        </w:tc>
        <w:tc>
          <w:tcPr>
            <w:tcW w:w="988" w:type="dxa"/>
          </w:tcPr>
          <w:p w14:paraId="606FC238" w14:textId="77777777" w:rsidR="00A727D0" w:rsidRPr="001513D5" w:rsidRDefault="00A727D0" w:rsidP="004F4A1C">
            <w:pPr>
              <w:contextualSpacing/>
              <w:jc w:val="center"/>
              <w:rPr>
                <w:noProof/>
                <w:lang w:val="en-IE"/>
              </w:rPr>
            </w:pPr>
            <w:r w:rsidRPr="001513D5">
              <w:rPr>
                <w:noProof/>
                <w:lang w:val="en-IE"/>
              </w:rPr>
              <w:t>6, 7, 8</w:t>
            </w:r>
          </w:p>
        </w:tc>
      </w:tr>
      <w:tr w:rsidR="00A727D0" w:rsidRPr="001513D5" w14:paraId="496E829E" w14:textId="77777777" w:rsidTr="00DF58BE">
        <w:tc>
          <w:tcPr>
            <w:tcW w:w="1536" w:type="dxa"/>
            <w:vMerge/>
          </w:tcPr>
          <w:p w14:paraId="15BCEDD0" w14:textId="77777777" w:rsidR="00A727D0" w:rsidRPr="001513D5" w:rsidRDefault="00A727D0" w:rsidP="004F4A1C">
            <w:pPr>
              <w:contextualSpacing/>
              <w:jc w:val="center"/>
              <w:rPr>
                <w:noProof/>
                <w:lang w:val="en-IE"/>
              </w:rPr>
            </w:pPr>
          </w:p>
        </w:tc>
        <w:tc>
          <w:tcPr>
            <w:tcW w:w="1936" w:type="dxa"/>
          </w:tcPr>
          <w:p w14:paraId="0BFC036E" w14:textId="77777777" w:rsidR="00A727D0" w:rsidRPr="001513D5" w:rsidRDefault="00A727D0" w:rsidP="004F4A1C">
            <w:pPr>
              <w:contextualSpacing/>
              <w:jc w:val="center"/>
              <w:rPr>
                <w:noProof/>
                <w:lang w:val="en-IE"/>
              </w:rPr>
            </w:pPr>
            <w:r w:rsidRPr="001513D5">
              <w:rPr>
                <w:noProof/>
                <w:lang w:val="en-IE"/>
              </w:rPr>
              <w:t>Transnational campus – access to services</w:t>
            </w:r>
          </w:p>
        </w:tc>
        <w:tc>
          <w:tcPr>
            <w:tcW w:w="6598" w:type="dxa"/>
          </w:tcPr>
          <w:p w14:paraId="5E1C55A5" w14:textId="77777777" w:rsidR="00A727D0" w:rsidRPr="001513D5" w:rsidRDefault="5C4A5BD8" w:rsidP="004F4A1C">
            <w:pPr>
              <w:contextualSpacing/>
              <w:rPr>
                <w:noProof/>
              </w:rPr>
            </w:pPr>
            <w:r w:rsidRPr="59A29FBA">
              <w:rPr>
                <w:noProof/>
                <w:lang w:val="en-IE"/>
              </w:rPr>
              <w:t xml:space="preserve">The programme has joint policies for students and staff to have access to relevant services in all </w:t>
            </w:r>
            <w:r w:rsidRPr="008357F5">
              <w:rPr>
                <w:noProof/>
                <w:lang w:val="en-IE"/>
              </w:rPr>
              <w:t xml:space="preserve">participating </w:t>
            </w:r>
            <w:r w:rsidR="182A623D" w:rsidRPr="59A29FBA">
              <w:rPr>
                <w:noProof/>
                <w:lang w:val="en-IE"/>
              </w:rPr>
              <w:t xml:space="preserve">higher educational institutions </w:t>
            </w:r>
            <w:r w:rsidR="428E2823" w:rsidRPr="59A29FBA">
              <w:rPr>
                <w:noProof/>
                <w:lang w:val="en-IE"/>
              </w:rPr>
              <w:t>under</w:t>
            </w:r>
            <w:r w:rsidR="003E37F9">
              <w:rPr>
                <w:noProof/>
                <w:lang w:val="en-IE"/>
              </w:rPr>
              <w:t xml:space="preserve"> </w:t>
            </w:r>
            <w:r w:rsidRPr="59A29FBA">
              <w:rPr>
                <w:noProof/>
                <w:lang w:val="en-IE"/>
              </w:rPr>
              <w:t xml:space="preserve">equivalent conditions as </w:t>
            </w:r>
            <w:r w:rsidR="003E37F9">
              <w:rPr>
                <w:noProof/>
                <w:lang w:val="en-IE"/>
              </w:rPr>
              <w:t>all</w:t>
            </w:r>
            <w:r w:rsidR="2A761F50" w:rsidRPr="59A29FBA">
              <w:rPr>
                <w:noProof/>
                <w:lang w:val="en-IE"/>
              </w:rPr>
              <w:t xml:space="preserve"> </w:t>
            </w:r>
            <w:r w:rsidRPr="59A29FBA">
              <w:rPr>
                <w:noProof/>
                <w:lang w:val="en-IE"/>
              </w:rPr>
              <w:t>enrolled students and local staff.</w:t>
            </w:r>
          </w:p>
        </w:tc>
        <w:tc>
          <w:tcPr>
            <w:tcW w:w="988" w:type="dxa"/>
          </w:tcPr>
          <w:p w14:paraId="000E8E1C" w14:textId="77777777" w:rsidR="00A727D0" w:rsidRPr="001513D5" w:rsidRDefault="00A727D0" w:rsidP="004F4A1C">
            <w:pPr>
              <w:contextualSpacing/>
              <w:jc w:val="center"/>
              <w:rPr>
                <w:noProof/>
                <w:lang w:val="en-IE"/>
              </w:rPr>
            </w:pPr>
            <w:r w:rsidRPr="001513D5">
              <w:rPr>
                <w:noProof/>
                <w:lang w:val="en-IE"/>
              </w:rPr>
              <w:t>6, 7, 8</w:t>
            </w:r>
          </w:p>
        </w:tc>
      </w:tr>
      <w:tr w:rsidR="00A727D0" w:rsidRPr="001513D5" w14:paraId="51ADA909" w14:textId="77777777" w:rsidTr="00DF58BE">
        <w:trPr>
          <w:trHeight w:val="416"/>
        </w:trPr>
        <w:tc>
          <w:tcPr>
            <w:tcW w:w="1536" w:type="dxa"/>
            <w:vMerge/>
          </w:tcPr>
          <w:p w14:paraId="2F95B4F4" w14:textId="77777777" w:rsidR="00A727D0" w:rsidRPr="001513D5" w:rsidRDefault="00A727D0" w:rsidP="004F4A1C">
            <w:pPr>
              <w:contextualSpacing/>
              <w:jc w:val="center"/>
              <w:rPr>
                <w:noProof/>
                <w:lang w:val="en-IE"/>
              </w:rPr>
            </w:pPr>
          </w:p>
        </w:tc>
        <w:tc>
          <w:tcPr>
            <w:tcW w:w="1936" w:type="dxa"/>
            <w:vMerge w:val="restart"/>
          </w:tcPr>
          <w:p w14:paraId="1D4BB5AE" w14:textId="77777777" w:rsidR="00A727D0" w:rsidRPr="001513D5" w:rsidRDefault="00A727D0" w:rsidP="004F4A1C">
            <w:pPr>
              <w:contextualSpacing/>
              <w:jc w:val="center"/>
              <w:rPr>
                <w:noProof/>
                <w:lang w:val="en-IE"/>
              </w:rPr>
            </w:pPr>
            <w:r w:rsidRPr="001513D5">
              <w:rPr>
                <w:noProof/>
                <w:lang w:val="en-IE"/>
              </w:rPr>
              <w:t>Flexible and embedded student mobility</w:t>
            </w:r>
          </w:p>
        </w:tc>
        <w:tc>
          <w:tcPr>
            <w:tcW w:w="6598" w:type="dxa"/>
          </w:tcPr>
          <w:p w14:paraId="7C85A129" w14:textId="77777777" w:rsidR="00A727D0" w:rsidRPr="001513D5" w:rsidRDefault="5C4A5BD8" w:rsidP="004F4A1C">
            <w:pPr>
              <w:contextualSpacing/>
              <w:rPr>
                <w:noProof/>
                <w:lang w:val="en-IE"/>
              </w:rPr>
            </w:pPr>
            <w:r w:rsidRPr="59A29FBA">
              <w:rPr>
                <w:noProof/>
                <w:lang w:val="en-IE"/>
              </w:rPr>
              <w:t>The joint programme offers</w:t>
            </w:r>
            <w:r w:rsidR="2604F7A8" w:rsidRPr="59A29FBA">
              <w:rPr>
                <w:noProof/>
                <w:lang w:val="en-IE"/>
              </w:rPr>
              <w:t xml:space="preserve"> </w:t>
            </w:r>
            <w:r w:rsidRPr="59A29FBA">
              <w:rPr>
                <w:noProof/>
                <w:lang w:val="en-IE"/>
              </w:rPr>
              <w:t xml:space="preserve">deep intercultural experience, including a minimum of 1 period of student physical mobility (that can be split in several stays) at </w:t>
            </w:r>
            <w:r w:rsidR="1E90F8A1" w:rsidRPr="59A29FBA">
              <w:rPr>
                <w:noProof/>
                <w:lang w:val="en-IE"/>
              </w:rPr>
              <w:t>one or more</w:t>
            </w:r>
            <w:r w:rsidRPr="59A29FBA">
              <w:rPr>
                <w:noProof/>
                <w:lang w:val="en-IE"/>
              </w:rPr>
              <w:t xml:space="preserve"> partner institution</w:t>
            </w:r>
            <w:r w:rsidR="00A727D0" w:rsidRPr="59A29FBA">
              <w:rPr>
                <w:noProof/>
                <w:lang w:val="en-IE"/>
              </w:rPr>
              <w:t>(</w:t>
            </w:r>
            <w:r w:rsidRPr="59A29FBA">
              <w:rPr>
                <w:noProof/>
                <w:lang w:val="en-IE"/>
              </w:rPr>
              <w:t>s</w:t>
            </w:r>
            <w:r w:rsidR="00A727D0" w:rsidRPr="59A29FBA">
              <w:rPr>
                <w:noProof/>
                <w:lang w:val="en-IE"/>
              </w:rPr>
              <w:t>)</w:t>
            </w:r>
            <w:r w:rsidRPr="59A29FBA">
              <w:rPr>
                <w:noProof/>
                <w:lang w:val="en-IE"/>
              </w:rPr>
              <w:t xml:space="preserve"> representing overall at least 60 ECTS at EQF 6 level and 30 ECTS at EQF 7 level. The joint programme has a policy offering alternatives for students who are unable to travel.</w:t>
            </w:r>
          </w:p>
        </w:tc>
        <w:tc>
          <w:tcPr>
            <w:tcW w:w="988" w:type="dxa"/>
          </w:tcPr>
          <w:p w14:paraId="2D8490A4" w14:textId="77777777" w:rsidR="00A727D0" w:rsidRPr="001513D5" w:rsidRDefault="00A727D0" w:rsidP="004F4A1C">
            <w:pPr>
              <w:contextualSpacing/>
              <w:jc w:val="center"/>
              <w:rPr>
                <w:noProof/>
                <w:lang w:val="en-IE"/>
              </w:rPr>
            </w:pPr>
            <w:r w:rsidRPr="001513D5">
              <w:rPr>
                <w:noProof/>
                <w:lang w:val="en-IE"/>
              </w:rPr>
              <w:t>6, 7</w:t>
            </w:r>
          </w:p>
        </w:tc>
      </w:tr>
      <w:tr w:rsidR="00A727D0" w:rsidRPr="001513D5" w14:paraId="363C4DAF" w14:textId="77777777" w:rsidTr="00DF58BE">
        <w:trPr>
          <w:trHeight w:val="1132"/>
        </w:trPr>
        <w:tc>
          <w:tcPr>
            <w:tcW w:w="1536" w:type="dxa"/>
            <w:vMerge/>
          </w:tcPr>
          <w:p w14:paraId="0E3AA6B9" w14:textId="77777777" w:rsidR="00A727D0" w:rsidRPr="001513D5" w:rsidRDefault="00A727D0" w:rsidP="004F4A1C">
            <w:pPr>
              <w:contextualSpacing/>
              <w:jc w:val="center"/>
              <w:rPr>
                <w:noProof/>
                <w:lang w:val="en-IE"/>
              </w:rPr>
            </w:pPr>
          </w:p>
        </w:tc>
        <w:tc>
          <w:tcPr>
            <w:tcW w:w="1936" w:type="dxa"/>
            <w:vMerge/>
          </w:tcPr>
          <w:p w14:paraId="7B1AC29F" w14:textId="77777777" w:rsidR="00A727D0" w:rsidRPr="001513D5" w:rsidRDefault="00A727D0" w:rsidP="004F4A1C">
            <w:pPr>
              <w:contextualSpacing/>
              <w:jc w:val="center"/>
              <w:rPr>
                <w:noProof/>
                <w:lang w:val="en-IE"/>
              </w:rPr>
            </w:pPr>
          </w:p>
        </w:tc>
        <w:tc>
          <w:tcPr>
            <w:tcW w:w="6598" w:type="dxa"/>
          </w:tcPr>
          <w:p w14:paraId="4CA94F89" w14:textId="77777777" w:rsidR="00A727D0" w:rsidRPr="001513D5" w:rsidRDefault="5C4A5BD8" w:rsidP="004F4A1C">
            <w:pPr>
              <w:contextualSpacing/>
              <w:rPr>
                <w:noProof/>
                <w:lang w:val="en-IE"/>
              </w:rPr>
            </w:pPr>
            <w:r w:rsidRPr="59A29FBA">
              <w:rPr>
                <w:noProof/>
                <w:lang w:val="en-IE"/>
              </w:rPr>
              <w:t xml:space="preserve">The joint programme offers deep intercultural experience, including a total of at least 6 months of physical mobility at </w:t>
            </w:r>
            <w:r w:rsidR="780106F7" w:rsidRPr="59A29FBA">
              <w:rPr>
                <w:noProof/>
                <w:lang w:val="en-IE"/>
              </w:rPr>
              <w:t>one or more</w:t>
            </w:r>
            <w:r w:rsidRPr="59A29FBA">
              <w:rPr>
                <w:noProof/>
                <w:lang w:val="en-IE"/>
              </w:rPr>
              <w:t xml:space="preserve"> </w:t>
            </w:r>
            <w:r w:rsidR="21BD2746" w:rsidRPr="59A29FBA">
              <w:rPr>
                <w:noProof/>
                <w:lang w:val="en-IE"/>
              </w:rPr>
              <w:t xml:space="preserve">partner </w:t>
            </w:r>
            <w:r w:rsidRPr="59A29FBA">
              <w:rPr>
                <w:noProof/>
                <w:lang w:val="en-IE"/>
              </w:rPr>
              <w:t>institution</w:t>
            </w:r>
            <w:r w:rsidR="00A727D0" w:rsidRPr="59A29FBA">
              <w:rPr>
                <w:noProof/>
                <w:lang w:val="en-IE"/>
              </w:rPr>
              <w:t>(</w:t>
            </w:r>
            <w:r w:rsidRPr="59A29FBA">
              <w:rPr>
                <w:noProof/>
                <w:lang w:val="en-IE"/>
              </w:rPr>
              <w:t>s</w:t>
            </w:r>
            <w:r w:rsidR="00A727D0" w:rsidRPr="59A29FBA">
              <w:rPr>
                <w:noProof/>
                <w:lang w:val="en-IE"/>
              </w:rPr>
              <w:t>)</w:t>
            </w:r>
            <w:r w:rsidRPr="59A29FBA">
              <w:rPr>
                <w:noProof/>
                <w:lang w:val="en-IE"/>
              </w:rPr>
              <w:t xml:space="preserve">. </w:t>
            </w:r>
          </w:p>
          <w:p w14:paraId="165D2BB0" w14:textId="77777777" w:rsidR="00A727D0" w:rsidRPr="001513D5" w:rsidRDefault="00A727D0" w:rsidP="004F4A1C">
            <w:pPr>
              <w:contextualSpacing/>
              <w:rPr>
                <w:noProof/>
                <w:lang w:val="en-IE"/>
              </w:rPr>
            </w:pPr>
            <w:r w:rsidRPr="001513D5">
              <w:rPr>
                <w:noProof/>
                <w:lang w:val="en-IE"/>
              </w:rPr>
              <w:t>The joint programme has a policy offering alternatives for students who are unable to travel.</w:t>
            </w:r>
          </w:p>
        </w:tc>
        <w:tc>
          <w:tcPr>
            <w:tcW w:w="988" w:type="dxa"/>
          </w:tcPr>
          <w:p w14:paraId="0F61CE84" w14:textId="77777777" w:rsidR="00A727D0" w:rsidRPr="001513D5" w:rsidRDefault="00A727D0" w:rsidP="004F4A1C">
            <w:pPr>
              <w:contextualSpacing/>
              <w:jc w:val="center"/>
              <w:rPr>
                <w:noProof/>
                <w:lang w:val="en-IE"/>
              </w:rPr>
            </w:pPr>
            <w:r w:rsidRPr="001513D5">
              <w:rPr>
                <w:noProof/>
                <w:lang w:val="en-IE"/>
              </w:rPr>
              <w:t>8</w:t>
            </w:r>
          </w:p>
        </w:tc>
      </w:tr>
      <w:tr w:rsidR="00A727D0" w:rsidRPr="001513D5" w14:paraId="01CB0E86" w14:textId="77777777" w:rsidTr="00DF58BE">
        <w:trPr>
          <w:trHeight w:val="894"/>
        </w:trPr>
        <w:tc>
          <w:tcPr>
            <w:tcW w:w="1536" w:type="dxa"/>
            <w:vMerge/>
          </w:tcPr>
          <w:p w14:paraId="427D0119" w14:textId="77777777" w:rsidR="00A727D0" w:rsidRPr="001513D5" w:rsidRDefault="00A727D0" w:rsidP="004F4A1C">
            <w:pPr>
              <w:contextualSpacing/>
              <w:jc w:val="center"/>
              <w:rPr>
                <w:noProof/>
                <w:lang w:val="en-IE"/>
              </w:rPr>
            </w:pPr>
          </w:p>
        </w:tc>
        <w:tc>
          <w:tcPr>
            <w:tcW w:w="1936" w:type="dxa"/>
          </w:tcPr>
          <w:p w14:paraId="50A003B5" w14:textId="77777777" w:rsidR="00A727D0" w:rsidRPr="001513D5" w:rsidRDefault="00A727D0" w:rsidP="004F4A1C">
            <w:pPr>
              <w:contextualSpacing/>
              <w:jc w:val="center"/>
              <w:rPr>
                <w:noProof/>
                <w:lang w:val="en-IE"/>
              </w:rPr>
            </w:pPr>
            <w:r w:rsidRPr="001513D5">
              <w:rPr>
                <w:noProof/>
                <w:lang w:val="en-IE"/>
              </w:rPr>
              <w:t>Co-evaluation and co-supervision for dissertations</w:t>
            </w:r>
          </w:p>
        </w:tc>
        <w:tc>
          <w:tcPr>
            <w:tcW w:w="6598" w:type="dxa"/>
          </w:tcPr>
          <w:p w14:paraId="25BB189D" w14:textId="77777777" w:rsidR="00A727D0" w:rsidRPr="001513D5" w:rsidRDefault="685E41DE" w:rsidP="004F4A1C">
            <w:pPr>
              <w:contextualSpacing/>
              <w:rPr>
                <w:noProof/>
                <w:lang w:val="en-IE"/>
              </w:rPr>
            </w:pPr>
            <w:r w:rsidRPr="59A29FBA">
              <w:rPr>
                <w:noProof/>
                <w:lang w:val="en-IE"/>
              </w:rPr>
              <w:t xml:space="preserve">Dissertations are supervised by at least </w:t>
            </w:r>
            <w:r w:rsidR="00593A59">
              <w:rPr>
                <w:noProof/>
                <w:lang w:val="en-IE"/>
              </w:rPr>
              <w:t>2</w:t>
            </w:r>
            <w:r w:rsidR="00593A59" w:rsidRPr="59A29FBA">
              <w:rPr>
                <w:noProof/>
                <w:lang w:val="en-IE"/>
              </w:rPr>
              <w:t xml:space="preserve"> </w:t>
            </w:r>
            <w:r w:rsidRPr="59A29FBA">
              <w:rPr>
                <w:noProof/>
                <w:lang w:val="en-IE"/>
              </w:rPr>
              <w:t xml:space="preserve">supervisors and co-evaluated by co-supervisors or a committee with members from at least </w:t>
            </w:r>
            <w:r w:rsidR="00593A59">
              <w:rPr>
                <w:noProof/>
                <w:lang w:val="en-IE"/>
              </w:rPr>
              <w:t>2</w:t>
            </w:r>
            <w:r w:rsidR="00593A59" w:rsidRPr="59A29FBA">
              <w:rPr>
                <w:noProof/>
                <w:lang w:val="en-IE"/>
              </w:rPr>
              <w:t xml:space="preserve"> </w:t>
            </w:r>
            <w:r w:rsidRPr="59A29FBA">
              <w:rPr>
                <w:noProof/>
                <w:lang w:val="en-IE"/>
              </w:rPr>
              <w:t xml:space="preserve">different institutions located in </w:t>
            </w:r>
            <w:r w:rsidR="00593A59">
              <w:rPr>
                <w:noProof/>
                <w:lang w:val="en-IE"/>
              </w:rPr>
              <w:t>2</w:t>
            </w:r>
            <w:r w:rsidR="00593A59" w:rsidRPr="59A29FBA">
              <w:rPr>
                <w:noProof/>
                <w:lang w:val="en-IE"/>
              </w:rPr>
              <w:t xml:space="preserve"> </w:t>
            </w:r>
            <w:r w:rsidRPr="59A29FBA">
              <w:rPr>
                <w:noProof/>
                <w:lang w:val="en-IE"/>
              </w:rPr>
              <w:t xml:space="preserve">different </w:t>
            </w:r>
            <w:r w:rsidRPr="0028337C">
              <w:rPr>
                <w:noProof/>
                <w:lang w:val="en-IE"/>
              </w:rPr>
              <w:t>countries</w:t>
            </w:r>
            <w:r w:rsidRPr="59A29FBA">
              <w:rPr>
                <w:noProof/>
                <w:lang w:val="en-IE"/>
              </w:rPr>
              <w:t>.</w:t>
            </w:r>
          </w:p>
        </w:tc>
        <w:tc>
          <w:tcPr>
            <w:tcW w:w="988" w:type="dxa"/>
          </w:tcPr>
          <w:p w14:paraId="15ABFB0E" w14:textId="77777777" w:rsidR="00A727D0" w:rsidRPr="001513D5" w:rsidRDefault="00A727D0" w:rsidP="004F4A1C">
            <w:pPr>
              <w:contextualSpacing/>
              <w:jc w:val="center"/>
              <w:rPr>
                <w:noProof/>
                <w:lang w:val="en-IE"/>
              </w:rPr>
            </w:pPr>
            <w:r w:rsidRPr="001513D5">
              <w:rPr>
                <w:noProof/>
                <w:lang w:val="en-IE"/>
              </w:rPr>
              <w:t>8</w:t>
            </w:r>
          </w:p>
        </w:tc>
      </w:tr>
      <w:tr w:rsidR="00A727D0" w:rsidRPr="001513D5" w14:paraId="6E65B514" w14:textId="77777777" w:rsidTr="00DF58BE">
        <w:tc>
          <w:tcPr>
            <w:tcW w:w="1536" w:type="dxa"/>
            <w:vMerge w:val="restart"/>
          </w:tcPr>
          <w:p w14:paraId="65F8D443" w14:textId="77777777" w:rsidR="00A727D0" w:rsidRPr="001513D5" w:rsidRDefault="00A727D0" w:rsidP="004F4A1C">
            <w:pPr>
              <w:contextualSpacing/>
              <w:jc w:val="center"/>
              <w:rPr>
                <w:noProof/>
                <w:lang w:val="en-IE"/>
              </w:rPr>
            </w:pPr>
            <w:r w:rsidRPr="001513D5">
              <w:rPr>
                <w:noProof/>
                <w:lang w:val="en-IE"/>
              </w:rPr>
              <w:t>European Values</w:t>
            </w:r>
          </w:p>
        </w:tc>
        <w:tc>
          <w:tcPr>
            <w:tcW w:w="1936" w:type="dxa"/>
          </w:tcPr>
          <w:p w14:paraId="15F40748" w14:textId="77777777" w:rsidR="00A727D0" w:rsidRPr="001513D5" w:rsidRDefault="00A727D0" w:rsidP="004F4A1C">
            <w:pPr>
              <w:contextualSpacing/>
              <w:jc w:val="center"/>
              <w:rPr>
                <w:noProof/>
                <w:lang w:val="en-IE"/>
              </w:rPr>
            </w:pPr>
            <w:r w:rsidRPr="001513D5">
              <w:rPr>
                <w:noProof/>
                <w:lang w:val="en-IE"/>
              </w:rPr>
              <w:t>Democratic values</w:t>
            </w:r>
          </w:p>
        </w:tc>
        <w:tc>
          <w:tcPr>
            <w:tcW w:w="6598" w:type="dxa"/>
          </w:tcPr>
          <w:p w14:paraId="4DC7FFB7" w14:textId="77777777" w:rsidR="00A727D0" w:rsidRPr="001513D5" w:rsidRDefault="00A727D0" w:rsidP="004F4A1C">
            <w:pPr>
              <w:contextualSpacing/>
              <w:rPr>
                <w:noProof/>
              </w:rPr>
            </w:pPr>
            <w:r w:rsidRPr="001513D5">
              <w:rPr>
                <w:noProof/>
              </w:rPr>
              <w:t>The joint programme's joint policies promote and adhere to democratic values.</w:t>
            </w:r>
          </w:p>
        </w:tc>
        <w:tc>
          <w:tcPr>
            <w:tcW w:w="988" w:type="dxa"/>
          </w:tcPr>
          <w:p w14:paraId="0CA9EFEB" w14:textId="77777777" w:rsidR="00A727D0" w:rsidRPr="001513D5" w:rsidRDefault="00A727D0" w:rsidP="004F4A1C">
            <w:pPr>
              <w:contextualSpacing/>
              <w:jc w:val="center"/>
              <w:rPr>
                <w:noProof/>
                <w:lang w:val="en-IE"/>
              </w:rPr>
            </w:pPr>
            <w:r w:rsidRPr="001513D5">
              <w:rPr>
                <w:noProof/>
                <w:lang w:val="en-IE"/>
              </w:rPr>
              <w:t>6, 7, 8</w:t>
            </w:r>
          </w:p>
        </w:tc>
      </w:tr>
      <w:tr w:rsidR="00A727D0" w:rsidRPr="001513D5" w14:paraId="5805CF0C" w14:textId="77777777" w:rsidTr="00DF58BE">
        <w:tc>
          <w:tcPr>
            <w:tcW w:w="1536" w:type="dxa"/>
            <w:vMerge/>
          </w:tcPr>
          <w:p w14:paraId="4EE0AEA2" w14:textId="77777777" w:rsidR="00A727D0" w:rsidRPr="001513D5" w:rsidRDefault="00A727D0" w:rsidP="004F4A1C">
            <w:pPr>
              <w:contextualSpacing/>
              <w:jc w:val="center"/>
              <w:rPr>
                <w:noProof/>
                <w:lang w:val="en-IE"/>
              </w:rPr>
            </w:pPr>
          </w:p>
        </w:tc>
        <w:tc>
          <w:tcPr>
            <w:tcW w:w="1936" w:type="dxa"/>
          </w:tcPr>
          <w:p w14:paraId="1C986C1F" w14:textId="77777777" w:rsidR="00A727D0" w:rsidRPr="001513D5" w:rsidRDefault="00A727D0" w:rsidP="004F4A1C">
            <w:pPr>
              <w:contextualSpacing/>
              <w:jc w:val="center"/>
              <w:rPr>
                <w:noProof/>
                <w:lang w:val="en-IE"/>
              </w:rPr>
            </w:pPr>
            <w:r w:rsidRPr="001513D5">
              <w:rPr>
                <w:noProof/>
                <w:lang w:val="en-IE"/>
              </w:rPr>
              <w:t>Multilingualism</w:t>
            </w:r>
          </w:p>
        </w:tc>
        <w:tc>
          <w:tcPr>
            <w:tcW w:w="6598" w:type="dxa"/>
          </w:tcPr>
          <w:p w14:paraId="1E78B0FD" w14:textId="67B5425F" w:rsidR="00A727D0" w:rsidRPr="001513D5" w:rsidRDefault="685E41DE" w:rsidP="59A29FBA">
            <w:pPr>
              <w:contextualSpacing/>
              <w:rPr>
                <w:i/>
                <w:iCs/>
                <w:noProof/>
                <w:lang w:val="en-IE"/>
              </w:rPr>
            </w:pPr>
            <w:r w:rsidRPr="59A29FBA">
              <w:rPr>
                <w:noProof/>
                <w:lang w:val="en-IE"/>
              </w:rPr>
              <w:t xml:space="preserve">During the joint programme, each student is exposed to at least </w:t>
            </w:r>
            <w:r w:rsidR="00EC09D1">
              <w:rPr>
                <w:noProof/>
                <w:lang w:val="en-IE"/>
              </w:rPr>
              <w:t>2</w:t>
            </w:r>
            <w:r w:rsidR="2823BDAA" w:rsidRPr="59A29FBA">
              <w:rPr>
                <w:noProof/>
                <w:lang w:val="en-IE"/>
              </w:rPr>
              <w:t xml:space="preserve"> </w:t>
            </w:r>
            <w:r w:rsidRPr="59A29FBA">
              <w:rPr>
                <w:noProof/>
                <w:lang w:val="en-IE"/>
              </w:rPr>
              <w:t xml:space="preserve">different </w:t>
            </w:r>
            <w:r w:rsidR="0028337C">
              <w:rPr>
                <w:noProof/>
                <w:lang w:val="en-IE"/>
              </w:rPr>
              <w:t>EU languages</w:t>
            </w:r>
            <w:r w:rsidR="00713072">
              <w:rPr>
                <w:noProof/>
                <w:lang w:val="en-IE"/>
              </w:rPr>
              <w:t>.</w:t>
            </w:r>
          </w:p>
        </w:tc>
        <w:tc>
          <w:tcPr>
            <w:tcW w:w="988" w:type="dxa"/>
          </w:tcPr>
          <w:p w14:paraId="172A9794" w14:textId="77777777" w:rsidR="00A727D0" w:rsidRPr="001513D5" w:rsidRDefault="00A727D0" w:rsidP="004F4A1C">
            <w:pPr>
              <w:contextualSpacing/>
              <w:jc w:val="center"/>
              <w:rPr>
                <w:noProof/>
                <w:lang w:val="en-IE"/>
              </w:rPr>
            </w:pPr>
            <w:r w:rsidRPr="001513D5">
              <w:rPr>
                <w:noProof/>
                <w:lang w:val="en-IE"/>
              </w:rPr>
              <w:t>6, 7, 8</w:t>
            </w:r>
          </w:p>
        </w:tc>
      </w:tr>
      <w:tr w:rsidR="00A727D0" w:rsidRPr="001513D5" w14:paraId="3D533BCA" w14:textId="77777777" w:rsidTr="00DF58BE">
        <w:tc>
          <w:tcPr>
            <w:tcW w:w="1536" w:type="dxa"/>
            <w:vMerge/>
          </w:tcPr>
          <w:p w14:paraId="71E4E7BB" w14:textId="77777777" w:rsidR="00A727D0" w:rsidRPr="001513D5" w:rsidRDefault="00A727D0" w:rsidP="004F4A1C">
            <w:pPr>
              <w:contextualSpacing/>
              <w:jc w:val="center"/>
              <w:rPr>
                <w:noProof/>
                <w:lang w:val="en-IE"/>
              </w:rPr>
            </w:pPr>
          </w:p>
        </w:tc>
        <w:tc>
          <w:tcPr>
            <w:tcW w:w="1936" w:type="dxa"/>
            <w:vMerge w:val="restart"/>
          </w:tcPr>
          <w:p w14:paraId="759AF21B" w14:textId="77777777" w:rsidR="00A727D0" w:rsidRPr="001513D5" w:rsidRDefault="00A727D0" w:rsidP="004F4A1C">
            <w:pPr>
              <w:contextualSpacing/>
              <w:jc w:val="center"/>
              <w:rPr>
                <w:noProof/>
                <w:lang w:val="en-IE"/>
              </w:rPr>
            </w:pPr>
            <w:r w:rsidRPr="001513D5">
              <w:rPr>
                <w:noProof/>
                <w:lang w:val="en-IE"/>
              </w:rPr>
              <w:t xml:space="preserve">Inclusiveness </w:t>
            </w:r>
          </w:p>
        </w:tc>
        <w:tc>
          <w:tcPr>
            <w:tcW w:w="6598" w:type="dxa"/>
          </w:tcPr>
          <w:p w14:paraId="5446FBB4" w14:textId="77777777" w:rsidR="00A727D0" w:rsidRPr="001513D5" w:rsidRDefault="00A727D0" w:rsidP="004F4A1C">
            <w:pPr>
              <w:contextualSpacing/>
              <w:rPr>
                <w:noProof/>
                <w:lang w:val="en-IE"/>
              </w:rPr>
            </w:pPr>
            <w:r w:rsidRPr="001513D5">
              <w:rPr>
                <w:noProof/>
                <w:lang w:val="en-IE"/>
              </w:rPr>
              <w:t xml:space="preserve">The joint programme commits to wide participation by fostering diversity, </w:t>
            </w:r>
            <w:r w:rsidR="00CF29D4">
              <w:rPr>
                <w:noProof/>
                <w:lang w:val="en-IE"/>
              </w:rPr>
              <w:t>equality</w:t>
            </w:r>
            <w:r w:rsidRPr="001513D5">
              <w:rPr>
                <w:noProof/>
                <w:lang w:val="en-IE"/>
              </w:rPr>
              <w:t xml:space="preserve">, and inclusion and by adopting tailored measures to support students and staff with </w:t>
            </w:r>
            <w:r w:rsidR="00CF29D4">
              <w:rPr>
                <w:noProof/>
                <w:lang w:val="en-IE"/>
              </w:rPr>
              <w:t>fewer</w:t>
            </w:r>
            <w:r w:rsidRPr="001513D5">
              <w:rPr>
                <w:noProof/>
                <w:lang w:val="en-IE"/>
              </w:rPr>
              <w:t xml:space="preserve"> opportunities.</w:t>
            </w:r>
          </w:p>
        </w:tc>
        <w:tc>
          <w:tcPr>
            <w:tcW w:w="988" w:type="dxa"/>
          </w:tcPr>
          <w:p w14:paraId="42331902" w14:textId="77777777" w:rsidR="00A727D0" w:rsidRPr="001513D5" w:rsidRDefault="00A727D0" w:rsidP="004F4A1C">
            <w:pPr>
              <w:contextualSpacing/>
              <w:jc w:val="center"/>
              <w:rPr>
                <w:noProof/>
                <w:lang w:val="en-IE"/>
              </w:rPr>
            </w:pPr>
            <w:r w:rsidRPr="001513D5">
              <w:rPr>
                <w:noProof/>
                <w:lang w:val="en-IE"/>
              </w:rPr>
              <w:t>6, 7, 8</w:t>
            </w:r>
          </w:p>
        </w:tc>
      </w:tr>
      <w:tr w:rsidR="00A727D0" w:rsidRPr="001513D5" w14:paraId="69E96D59" w14:textId="77777777" w:rsidTr="00DF58BE">
        <w:tc>
          <w:tcPr>
            <w:tcW w:w="1536" w:type="dxa"/>
            <w:vMerge/>
          </w:tcPr>
          <w:p w14:paraId="3D299AF6" w14:textId="77777777" w:rsidR="00A727D0" w:rsidRPr="001513D5" w:rsidRDefault="00A727D0" w:rsidP="004F4A1C">
            <w:pPr>
              <w:contextualSpacing/>
              <w:jc w:val="center"/>
              <w:rPr>
                <w:noProof/>
                <w:lang w:val="en-IE"/>
              </w:rPr>
            </w:pPr>
          </w:p>
        </w:tc>
        <w:tc>
          <w:tcPr>
            <w:tcW w:w="1936" w:type="dxa"/>
            <w:vMerge/>
          </w:tcPr>
          <w:p w14:paraId="002A9C66" w14:textId="77777777" w:rsidR="00A727D0" w:rsidRPr="001513D5" w:rsidRDefault="00A727D0" w:rsidP="004F4A1C">
            <w:pPr>
              <w:contextualSpacing/>
              <w:jc w:val="center"/>
              <w:rPr>
                <w:noProof/>
                <w:lang w:val="en-IE"/>
              </w:rPr>
            </w:pPr>
          </w:p>
        </w:tc>
        <w:tc>
          <w:tcPr>
            <w:tcW w:w="6598" w:type="dxa"/>
          </w:tcPr>
          <w:p w14:paraId="7DBE9E09" w14:textId="77777777" w:rsidR="00A727D0" w:rsidRPr="00713072" w:rsidRDefault="5C4A5BD8" w:rsidP="59A29FBA">
            <w:pPr>
              <w:contextualSpacing/>
              <w:rPr>
                <w:noProof/>
                <w:highlight w:val="yellow"/>
                <w:lang w:val="en-IE"/>
              </w:rPr>
            </w:pPr>
            <w:r w:rsidRPr="0028337C">
              <w:rPr>
                <w:noProof/>
                <w:lang w:val="en-IE"/>
              </w:rPr>
              <w:t>The joint programme commits to respect the principles of the European Charter for Researchers.</w:t>
            </w:r>
            <w:r w:rsidR="104006F5" w:rsidRPr="00713072">
              <w:rPr>
                <w:noProof/>
                <w:lang w:val="en-IE"/>
              </w:rPr>
              <w:t xml:space="preserve"> </w:t>
            </w:r>
          </w:p>
        </w:tc>
        <w:tc>
          <w:tcPr>
            <w:tcW w:w="988" w:type="dxa"/>
          </w:tcPr>
          <w:p w14:paraId="14C1CD30" w14:textId="77777777" w:rsidR="00A727D0" w:rsidRPr="001513D5" w:rsidRDefault="00A727D0" w:rsidP="004F4A1C">
            <w:pPr>
              <w:contextualSpacing/>
              <w:jc w:val="center"/>
              <w:rPr>
                <w:noProof/>
                <w:lang w:val="en-IE"/>
              </w:rPr>
            </w:pPr>
            <w:r w:rsidRPr="001513D5">
              <w:rPr>
                <w:noProof/>
                <w:lang w:val="en-IE"/>
              </w:rPr>
              <w:t>8</w:t>
            </w:r>
          </w:p>
        </w:tc>
      </w:tr>
      <w:tr w:rsidR="00DF58BE" w:rsidRPr="001513D5" w14:paraId="4CB5955D" w14:textId="77777777" w:rsidTr="001B70E4">
        <w:trPr>
          <w:trHeight w:val="828"/>
        </w:trPr>
        <w:tc>
          <w:tcPr>
            <w:tcW w:w="1536" w:type="dxa"/>
            <w:vMerge/>
          </w:tcPr>
          <w:p w14:paraId="3B14D10A" w14:textId="77777777" w:rsidR="00DF58BE" w:rsidRPr="001513D5" w:rsidRDefault="00DF58BE" w:rsidP="004F4A1C">
            <w:pPr>
              <w:contextualSpacing/>
              <w:jc w:val="center"/>
              <w:rPr>
                <w:noProof/>
                <w:lang w:val="en-IE"/>
              </w:rPr>
            </w:pPr>
          </w:p>
        </w:tc>
        <w:tc>
          <w:tcPr>
            <w:tcW w:w="1936" w:type="dxa"/>
          </w:tcPr>
          <w:p w14:paraId="28A44114" w14:textId="77777777" w:rsidR="00DF58BE" w:rsidRPr="001513D5" w:rsidRDefault="00DF58BE" w:rsidP="004F4A1C">
            <w:pPr>
              <w:contextualSpacing/>
              <w:jc w:val="center"/>
              <w:rPr>
                <w:noProof/>
                <w:lang w:val="en-IE"/>
              </w:rPr>
            </w:pPr>
            <w:r w:rsidRPr="001513D5">
              <w:rPr>
                <w:noProof/>
                <w:lang w:val="en-IE"/>
              </w:rPr>
              <w:t>Green transition</w:t>
            </w:r>
          </w:p>
        </w:tc>
        <w:tc>
          <w:tcPr>
            <w:tcW w:w="6598" w:type="dxa"/>
          </w:tcPr>
          <w:p w14:paraId="40616AF1" w14:textId="77777777" w:rsidR="00DF58BE" w:rsidRPr="001513D5" w:rsidRDefault="00DF58BE" w:rsidP="004F4A1C">
            <w:pPr>
              <w:contextualSpacing/>
              <w:rPr>
                <w:noProof/>
                <w:lang w:val="en-IE"/>
              </w:rPr>
            </w:pPr>
            <w:r w:rsidRPr="59A29FBA">
              <w:rPr>
                <w:noProof/>
                <w:lang w:val="en-IE"/>
              </w:rPr>
              <w:t xml:space="preserve">The joint programme </w:t>
            </w:r>
            <w:r>
              <w:rPr>
                <w:noProof/>
                <w:lang w:val="en-IE"/>
              </w:rPr>
              <w:t>has</w:t>
            </w:r>
            <w:r w:rsidRPr="59A29FBA">
              <w:rPr>
                <w:noProof/>
                <w:lang w:val="en-IE"/>
              </w:rPr>
              <w:t xml:space="preserve"> policies and actions related to environmental sustainability and implements measures to minimise the environmental footprint of its activities</w:t>
            </w:r>
            <w:r>
              <w:rPr>
                <w:noProof/>
                <w:lang w:val="en-IE"/>
              </w:rPr>
              <w:t>.</w:t>
            </w:r>
            <w:r w:rsidRPr="59A29FBA">
              <w:rPr>
                <w:noProof/>
                <w:lang w:val="en-IE"/>
              </w:rPr>
              <w:t xml:space="preserve"> </w:t>
            </w:r>
          </w:p>
        </w:tc>
        <w:tc>
          <w:tcPr>
            <w:tcW w:w="988" w:type="dxa"/>
          </w:tcPr>
          <w:p w14:paraId="74506EBF" w14:textId="77777777" w:rsidR="00DF58BE" w:rsidRPr="001513D5" w:rsidRDefault="00DF58BE" w:rsidP="004F4A1C">
            <w:pPr>
              <w:contextualSpacing/>
              <w:jc w:val="center"/>
              <w:rPr>
                <w:noProof/>
                <w:lang w:val="en-IE"/>
              </w:rPr>
            </w:pPr>
            <w:r w:rsidRPr="001513D5">
              <w:rPr>
                <w:noProof/>
                <w:lang w:val="en-IE"/>
              </w:rPr>
              <w:t>6,7</w:t>
            </w:r>
            <w:r>
              <w:rPr>
                <w:noProof/>
                <w:lang w:val="en-IE"/>
              </w:rPr>
              <w:t>, 8</w:t>
            </w:r>
          </w:p>
        </w:tc>
      </w:tr>
      <w:bookmarkEnd w:id="3"/>
    </w:tbl>
    <w:p w14:paraId="134949AD" w14:textId="77777777" w:rsidR="009F548D" w:rsidRDefault="009F548D" w:rsidP="00811263">
      <w:pPr>
        <w:rPr>
          <w:noProof/>
        </w:rPr>
      </w:pPr>
    </w:p>
    <w:p w14:paraId="093679D6" w14:textId="77777777" w:rsidR="00811263" w:rsidRDefault="00811263">
      <w:pPr>
        <w:spacing w:before="0" w:after="200" w:line="276" w:lineRule="auto"/>
        <w:jc w:val="left"/>
        <w:rPr>
          <w:b/>
          <w:bCs/>
          <w:noProof/>
        </w:rPr>
      </w:pPr>
      <w:r>
        <w:rPr>
          <w:b/>
          <w:bCs/>
          <w:noProof/>
        </w:rPr>
        <w:br w:type="page"/>
      </w:r>
    </w:p>
    <w:p w14:paraId="7D9C2EB0" w14:textId="7DF7098E" w:rsidR="00905D22" w:rsidRDefault="00145B2E" w:rsidP="00811263">
      <w:pPr>
        <w:pStyle w:val="Annexetitre"/>
        <w:rPr>
          <w:noProof/>
        </w:rPr>
      </w:pPr>
      <w:r w:rsidRPr="00145B2E">
        <w:rPr>
          <w:noProof/>
        </w:rPr>
        <w:lastRenderedPageBreak/>
        <w:t>ANNEX III</w:t>
      </w:r>
    </w:p>
    <w:p w14:paraId="6BB802A8" w14:textId="77777777" w:rsidR="00145B2E" w:rsidRDefault="00145B2E" w:rsidP="00145B2E">
      <w:pPr>
        <w:jc w:val="center"/>
        <w:rPr>
          <w:b/>
          <w:bCs/>
          <w:noProof/>
        </w:rPr>
      </w:pPr>
      <w:r>
        <w:rPr>
          <w:b/>
          <w:bCs/>
          <w:noProof/>
        </w:rPr>
        <w:t xml:space="preserve">Glossary of Terms </w:t>
      </w:r>
    </w:p>
    <w:p w14:paraId="0D4AD674" w14:textId="77777777" w:rsidR="00145B2E" w:rsidRDefault="00145B2E" w:rsidP="00145B2E">
      <w:pPr>
        <w:jc w:val="center"/>
        <w:rPr>
          <w:b/>
          <w:bCs/>
          <w:noProof/>
        </w:rPr>
      </w:pPr>
    </w:p>
    <w:p w14:paraId="0B11D784" w14:textId="77777777" w:rsidR="00442C53" w:rsidRPr="003E35A5" w:rsidRDefault="00442C53" w:rsidP="003E35A5">
      <w:pPr>
        <w:pStyle w:val="Textbody"/>
        <w:jc w:val="both"/>
        <w:rPr>
          <w:rFonts w:ascii="Times New Roman" w:hAnsi="Times New Roman" w:cs="Times New Roman"/>
          <w:noProof/>
          <w:color w:val="auto"/>
          <w:sz w:val="24"/>
        </w:rPr>
      </w:pPr>
      <w:r w:rsidRPr="59A29FBA">
        <w:rPr>
          <w:rStyle w:val="Tugev"/>
          <w:rFonts w:ascii="Times New Roman" w:hAnsi="Times New Roman" w:cs="Times New Roman"/>
          <w:noProof/>
          <w:color w:val="auto"/>
          <w:sz w:val="24"/>
        </w:rPr>
        <w:t>Alliance</w:t>
      </w:r>
      <w:r w:rsidRPr="59A29FBA">
        <w:rPr>
          <w:rFonts w:ascii="Times New Roman" w:hAnsi="Times New Roman" w:cs="Times New Roman"/>
          <w:noProof/>
          <w:color w:val="auto"/>
          <w:sz w:val="24"/>
        </w:rPr>
        <w:t xml:space="preserve">: </w:t>
      </w:r>
      <w:r w:rsidR="00C26146">
        <w:rPr>
          <w:rFonts w:ascii="Times New Roman" w:hAnsi="Times New Roman" w:cs="Times New Roman"/>
          <w:noProof/>
          <w:color w:val="auto"/>
          <w:sz w:val="24"/>
        </w:rPr>
        <w:t xml:space="preserve">refers to </w:t>
      </w:r>
      <w:r w:rsidRPr="59A29FBA">
        <w:rPr>
          <w:rFonts w:ascii="Times New Roman" w:hAnsi="Times New Roman" w:cs="Times New Roman"/>
          <w:noProof/>
          <w:color w:val="auto"/>
          <w:sz w:val="24"/>
        </w:rPr>
        <w:t xml:space="preserve">a group of European higher education institutions that have entered a </w:t>
      </w:r>
      <w:r>
        <w:rPr>
          <w:rFonts w:ascii="Times New Roman" w:hAnsi="Times New Roman" w:cs="Times New Roman"/>
          <w:noProof/>
          <w:color w:val="auto"/>
          <w:sz w:val="24"/>
        </w:rPr>
        <w:t xml:space="preserve">transnational </w:t>
      </w:r>
      <w:r w:rsidRPr="59A29FBA">
        <w:rPr>
          <w:rFonts w:ascii="Times New Roman" w:hAnsi="Times New Roman" w:cs="Times New Roman"/>
          <w:noProof/>
          <w:color w:val="auto"/>
          <w:sz w:val="24"/>
        </w:rPr>
        <w:t xml:space="preserve">long-term, structural cooperation that </w:t>
      </w:r>
      <w:r w:rsidR="006F79E0" w:rsidRPr="006F79E0">
        <w:rPr>
          <w:rFonts w:ascii="Times New Roman" w:hAnsi="Times New Roman" w:cs="Times New Roman"/>
          <w:noProof/>
          <w:color w:val="auto"/>
          <w:sz w:val="24"/>
        </w:rPr>
        <w:t xml:space="preserve">is confirmed in a joint mission statement endorsed by the relevant decision-making bodies at institutional level of each member of the alliance. This cooperation </w:t>
      </w:r>
      <w:r w:rsidRPr="59A29FBA">
        <w:rPr>
          <w:rFonts w:ascii="Times New Roman" w:hAnsi="Times New Roman" w:cs="Times New Roman"/>
          <w:noProof/>
          <w:color w:val="auto"/>
          <w:sz w:val="24"/>
        </w:rPr>
        <w:t xml:space="preserve">involves joint decision-making in governance aspects and includes offering joint </w:t>
      </w:r>
      <w:r w:rsidRPr="009F548D">
        <w:rPr>
          <w:rFonts w:ascii="Times New Roman" w:hAnsi="Times New Roman" w:cs="Times New Roman"/>
          <w:noProof/>
          <w:color w:val="auto"/>
          <w:sz w:val="24"/>
        </w:rPr>
        <w:t>education provision as a core mission. This includes, for example, those alliances of higher education institutions funded under the European</w:t>
      </w:r>
      <w:r w:rsidRPr="59A29FBA">
        <w:rPr>
          <w:rFonts w:ascii="Times New Roman" w:hAnsi="Times New Roman" w:cs="Times New Roman"/>
          <w:noProof/>
          <w:color w:val="auto"/>
          <w:sz w:val="24"/>
        </w:rPr>
        <w:t xml:space="preserve"> Universities initiative</w:t>
      </w:r>
      <w:r>
        <w:rPr>
          <w:rStyle w:val="Allmrkuseviide"/>
          <w:rFonts w:ascii="Times New Roman" w:hAnsi="Times New Roman" w:cs="Times New Roman"/>
          <w:noProof/>
          <w:color w:val="auto"/>
          <w:sz w:val="24"/>
        </w:rPr>
        <w:footnoteReference w:id="5"/>
      </w:r>
      <w:r w:rsidRPr="59A29FBA">
        <w:rPr>
          <w:rFonts w:ascii="Times New Roman" w:hAnsi="Times New Roman" w:cs="Times New Roman"/>
          <w:noProof/>
          <w:color w:val="auto"/>
          <w:sz w:val="24"/>
        </w:rPr>
        <w:t>.</w:t>
      </w:r>
    </w:p>
    <w:p w14:paraId="46859F58" w14:textId="77777777" w:rsidR="00442C53" w:rsidRDefault="00442C53" w:rsidP="00811263">
      <w:pPr>
        <w:rPr>
          <w:noProof/>
        </w:rPr>
      </w:pPr>
      <w:r>
        <w:rPr>
          <w:b/>
          <w:bCs/>
          <w:noProof/>
        </w:rPr>
        <w:t xml:space="preserve">Educational provision </w:t>
      </w:r>
      <w:r w:rsidRPr="008D389B">
        <w:rPr>
          <w:noProof/>
        </w:rPr>
        <w:t xml:space="preserve">refers to higher education provision in its broadest sense, including </w:t>
      </w:r>
      <w:r w:rsidRPr="00653E43">
        <w:rPr>
          <w:noProof/>
        </w:rPr>
        <w:t>programmes leading to a full degree, courses leading to a micro-credential</w:t>
      </w:r>
      <w:r>
        <w:rPr>
          <w:noProof/>
        </w:rPr>
        <w:t>,</w:t>
      </w:r>
      <w:r w:rsidRPr="00653E43">
        <w:rPr>
          <w:noProof/>
        </w:rPr>
        <w:t xml:space="preserve"> as well as </w:t>
      </w:r>
      <w:r w:rsidRPr="008D389B">
        <w:rPr>
          <w:noProof/>
        </w:rPr>
        <w:t>provision that is not part of a programme leading to a formal degree</w:t>
      </w:r>
      <w:r>
        <w:rPr>
          <w:noProof/>
        </w:rPr>
        <w:t>.</w:t>
      </w:r>
    </w:p>
    <w:p w14:paraId="0F3EDC3F" w14:textId="77777777" w:rsidR="00442C53" w:rsidRPr="00442C53" w:rsidRDefault="00442C53" w:rsidP="00716B4B">
      <w:pPr>
        <w:pStyle w:val="Textbody"/>
        <w:spacing w:line="240" w:lineRule="auto"/>
        <w:jc w:val="both"/>
        <w:rPr>
          <w:noProof/>
        </w:rPr>
      </w:pPr>
      <w:r w:rsidRPr="40B22CF1">
        <w:rPr>
          <w:rStyle w:val="Tugev"/>
          <w:rFonts w:ascii="Times New Roman" w:hAnsi="Times New Roman" w:cs="Times New Roman"/>
          <w:noProof/>
          <w:color w:val="auto"/>
          <w:sz w:val="24"/>
        </w:rPr>
        <w:t>Evaluation</w:t>
      </w:r>
      <w:r w:rsidRPr="40B22CF1">
        <w:rPr>
          <w:rFonts w:ascii="Times New Roman" w:hAnsi="Times New Roman" w:cs="Times New Roman"/>
          <w:noProof/>
          <w:color w:val="auto"/>
          <w:sz w:val="24"/>
        </w:rPr>
        <w:t xml:space="preserve">: refers to </w:t>
      </w:r>
      <w:r w:rsidRPr="00442C53">
        <w:rPr>
          <w:rFonts w:ascii="Times New Roman" w:hAnsi="Times New Roman" w:cs="Times New Roman"/>
          <w:noProof/>
          <w:color w:val="auto"/>
          <w:sz w:val="24"/>
        </w:rPr>
        <w:t xml:space="preserve">a quality assurance </w:t>
      </w:r>
      <w:r w:rsidR="006F79E0">
        <w:rPr>
          <w:rFonts w:ascii="Times New Roman" w:hAnsi="Times New Roman" w:cs="Times New Roman"/>
          <w:noProof/>
          <w:color w:val="auto"/>
          <w:sz w:val="24"/>
        </w:rPr>
        <w:t xml:space="preserve">review </w:t>
      </w:r>
      <w:r w:rsidRPr="00442C53">
        <w:rPr>
          <w:rFonts w:ascii="Times New Roman" w:hAnsi="Times New Roman" w:cs="Times New Roman"/>
          <w:noProof/>
          <w:color w:val="auto"/>
          <w:sz w:val="24"/>
        </w:rPr>
        <w:t>of a higher education institution</w:t>
      </w:r>
      <w:r w:rsidR="006F79E0">
        <w:rPr>
          <w:rFonts w:ascii="Times New Roman" w:hAnsi="Times New Roman" w:cs="Times New Roman"/>
          <w:noProof/>
          <w:color w:val="auto"/>
          <w:sz w:val="24"/>
        </w:rPr>
        <w:t xml:space="preserve"> or educational provision</w:t>
      </w:r>
      <w:r w:rsidRPr="00442C53">
        <w:rPr>
          <w:rFonts w:ascii="Times New Roman" w:hAnsi="Times New Roman" w:cs="Times New Roman"/>
          <w:noProof/>
          <w:color w:val="auto"/>
          <w:sz w:val="24"/>
        </w:rPr>
        <w:t>, carried out either internally or externall</w:t>
      </w:r>
      <w:r>
        <w:rPr>
          <w:rFonts w:ascii="Times New Roman" w:hAnsi="Times New Roman" w:cs="Times New Roman"/>
          <w:noProof/>
          <w:color w:val="auto"/>
          <w:sz w:val="24"/>
        </w:rPr>
        <w:t>y.</w:t>
      </w:r>
    </w:p>
    <w:p w14:paraId="7994183A" w14:textId="77777777" w:rsidR="00442C53" w:rsidRPr="00027A99" w:rsidRDefault="00442C53" w:rsidP="00811263">
      <w:pPr>
        <w:rPr>
          <w:noProof/>
        </w:rPr>
      </w:pPr>
      <w:r w:rsidRPr="00027A99">
        <w:rPr>
          <w:b/>
          <w:bCs/>
          <w:noProof/>
        </w:rPr>
        <w:t xml:space="preserve">Joint programme </w:t>
      </w:r>
      <w:r w:rsidRPr="00027A99">
        <w:rPr>
          <w:noProof/>
        </w:rPr>
        <w:t>refers to an integrated curriculum coordinated and offered jointly by different higher education institutions, leading to double/multiple degrees or a joint degree.</w:t>
      </w:r>
      <w:r w:rsidRPr="00027A99">
        <w:rPr>
          <w:b/>
          <w:bCs/>
          <w:noProof/>
        </w:rPr>
        <w:t xml:space="preserve"> </w:t>
      </w:r>
    </w:p>
    <w:p w14:paraId="417263E1" w14:textId="77777777" w:rsidR="00442C53" w:rsidRDefault="00442C53" w:rsidP="00811263">
      <w:pPr>
        <w:rPr>
          <w:noProof/>
        </w:rPr>
      </w:pPr>
      <w:r w:rsidRPr="00027A99">
        <w:rPr>
          <w:b/>
          <w:bCs/>
          <w:noProof/>
        </w:rPr>
        <w:t xml:space="preserve">Joint degree programme </w:t>
      </w:r>
      <w:r w:rsidRPr="00027A99">
        <w:rPr>
          <w:noProof/>
        </w:rPr>
        <w:t>refers to a joint programme leading to a joint degree.</w:t>
      </w:r>
    </w:p>
    <w:p w14:paraId="5C6E7D7D" w14:textId="77777777" w:rsidR="00442C53" w:rsidRPr="001513D5" w:rsidRDefault="00442C53" w:rsidP="00811263">
      <w:pPr>
        <w:rPr>
          <w:noProof/>
        </w:rPr>
      </w:pPr>
      <w:r w:rsidRPr="59A29FBA">
        <w:rPr>
          <w:rStyle w:val="Tugev"/>
          <w:noProof/>
        </w:rPr>
        <w:t>Jointly managed activities</w:t>
      </w:r>
      <w:r w:rsidRPr="59A29FBA">
        <w:rPr>
          <w:noProof/>
        </w:rPr>
        <w:t xml:space="preserve">: </w:t>
      </w:r>
      <w:r w:rsidR="00C26146">
        <w:rPr>
          <w:noProof/>
        </w:rPr>
        <w:t xml:space="preserve">refers to </w:t>
      </w:r>
      <w:r w:rsidRPr="59A29FBA">
        <w:rPr>
          <w:noProof/>
        </w:rPr>
        <w:t>those activities of the Alliance and its member higher education institutions that the Alliance have decided to make subject to the Alliance's joint internal quality assurance system.</w:t>
      </w:r>
    </w:p>
    <w:p w14:paraId="15D0FA95" w14:textId="77777777" w:rsidR="00145B2E" w:rsidRPr="008E7707" w:rsidRDefault="00145B2E" w:rsidP="00811263">
      <w:pPr>
        <w:rPr>
          <w:noProof/>
        </w:rPr>
      </w:pPr>
      <w:r w:rsidRPr="008E7707">
        <w:rPr>
          <w:b/>
          <w:bCs/>
          <w:noProof/>
        </w:rPr>
        <w:t>Quality assurance</w:t>
      </w:r>
      <w:r w:rsidRPr="008E7707" w:rsidDel="00EF3ABF">
        <w:rPr>
          <w:noProof/>
        </w:rPr>
        <w:t xml:space="preserve"> </w:t>
      </w:r>
      <w:r w:rsidRPr="008E7707">
        <w:rPr>
          <w:noProof/>
        </w:rPr>
        <w:t>refers to the processes, both internal and external, carried out by a higher education institution or quality assurance agency, to ensure a learning environment in which the content of programmes, learning opportunities and facilities are equitable and fit for purpose. Quality assurance activities have the twin purposes of:</w:t>
      </w:r>
    </w:p>
    <w:p w14:paraId="0D29D543" w14:textId="77777777" w:rsidR="00145B2E" w:rsidRPr="008E7707" w:rsidRDefault="00145B2E" w:rsidP="000A03C3">
      <w:pPr>
        <w:pStyle w:val="Bullet1"/>
        <w:numPr>
          <w:ilvl w:val="0"/>
          <w:numId w:val="9"/>
        </w:numPr>
        <w:rPr>
          <w:noProof/>
        </w:rPr>
      </w:pPr>
      <w:r w:rsidRPr="00442C53">
        <w:rPr>
          <w:b/>
          <w:bCs/>
          <w:noProof/>
        </w:rPr>
        <w:t>Accountability:</w:t>
      </w:r>
      <w:r w:rsidRPr="00A05B82">
        <w:rPr>
          <w:noProof/>
        </w:rPr>
        <w:t xml:space="preserve"> A quality assurance system assure</w:t>
      </w:r>
      <w:r>
        <w:rPr>
          <w:noProof/>
        </w:rPr>
        <w:t>s</w:t>
      </w:r>
      <w:r w:rsidRPr="00A05B82">
        <w:rPr>
          <w:noProof/>
        </w:rPr>
        <w:t xml:space="preserve"> the higher education </w:t>
      </w:r>
      <w:r>
        <w:rPr>
          <w:noProof/>
        </w:rPr>
        <w:t>community</w:t>
      </w:r>
      <w:r w:rsidRPr="00A05B82">
        <w:rPr>
          <w:noProof/>
        </w:rPr>
        <w:t xml:space="preserve"> and the public of the quality of the higher education institution’s activities</w:t>
      </w:r>
      <w:r>
        <w:rPr>
          <w:noProof/>
        </w:rPr>
        <w:t xml:space="preserve"> by compliance with a set of standards</w:t>
      </w:r>
      <w:r w:rsidRPr="00A05B82">
        <w:rPr>
          <w:noProof/>
        </w:rPr>
        <w:t xml:space="preserve">. </w:t>
      </w:r>
      <w:r w:rsidRPr="00026F68">
        <w:rPr>
          <w:noProof/>
        </w:rPr>
        <w:t>It can be the basis for providing certain rights to the institution: recruiting students, awarding degrees, obtaining public funding.</w:t>
      </w:r>
    </w:p>
    <w:p w14:paraId="18E7287C" w14:textId="77777777" w:rsidR="00145B2E" w:rsidRDefault="00145B2E" w:rsidP="000A03C3">
      <w:pPr>
        <w:pStyle w:val="Bullet1"/>
        <w:numPr>
          <w:ilvl w:val="0"/>
          <w:numId w:val="9"/>
        </w:numPr>
        <w:spacing w:before="0"/>
        <w:rPr>
          <w:noProof/>
        </w:rPr>
      </w:pPr>
      <w:r w:rsidRPr="00442C53">
        <w:rPr>
          <w:b/>
          <w:bCs/>
          <w:noProof/>
        </w:rPr>
        <w:t>Enhancement:</w:t>
      </w:r>
      <w:r w:rsidRPr="00A05B82">
        <w:rPr>
          <w:noProof/>
        </w:rPr>
        <w:t xml:space="preserve"> Quality assurance systems also provide advice and recommendations to </w:t>
      </w:r>
      <w:r>
        <w:rPr>
          <w:noProof/>
        </w:rPr>
        <w:t xml:space="preserve">and within </w:t>
      </w:r>
      <w:r w:rsidRPr="00A05B82">
        <w:rPr>
          <w:noProof/>
        </w:rPr>
        <w:t>higher education institutions on how they might improve what they are doing.</w:t>
      </w:r>
    </w:p>
    <w:p w14:paraId="7708D8E9" w14:textId="77777777" w:rsidR="00145B2E" w:rsidRPr="00027A99" w:rsidRDefault="00145B2E" w:rsidP="00145B2E">
      <w:pPr>
        <w:pStyle w:val="Point0"/>
        <w:ind w:left="0" w:firstLine="0"/>
        <w:rPr>
          <w:noProof/>
        </w:rPr>
      </w:pPr>
      <w:r w:rsidRPr="00027A99">
        <w:rPr>
          <w:noProof/>
        </w:rPr>
        <w:t xml:space="preserve">Taken together, accountability and enhancement of a quality assurance system create trust in the higher education institution’s performance. They are key to supporting the development of a quality culture that is embraced by all: from the students and staff to the institutional leadership and management. The term ‘quality assurance’ is used in this document to describe all activities within the continuous improvement cycle, i.e., both accountability and enhancement activities. </w:t>
      </w:r>
    </w:p>
    <w:p w14:paraId="297667DE" w14:textId="77777777" w:rsidR="00145B2E" w:rsidRPr="00027A99" w:rsidRDefault="00145B2E" w:rsidP="000A03C3">
      <w:pPr>
        <w:pStyle w:val="Point0letter"/>
        <w:numPr>
          <w:ilvl w:val="1"/>
          <w:numId w:val="10"/>
        </w:numPr>
        <w:rPr>
          <w:noProof/>
        </w:rPr>
      </w:pPr>
      <w:r w:rsidRPr="00027A99">
        <w:rPr>
          <w:b/>
          <w:bCs/>
          <w:noProof/>
        </w:rPr>
        <w:t>Internal quality assurance</w:t>
      </w:r>
      <w:r w:rsidRPr="00027A99">
        <w:rPr>
          <w:noProof/>
        </w:rPr>
        <w:t xml:space="preserve"> refers to the processes carried out internally by the higher education institutions themselves.</w:t>
      </w:r>
      <w:r w:rsidRPr="00027A99">
        <w:rPr>
          <w:noProof/>
          <w:lang w:val="en-IE"/>
        </w:rPr>
        <w:t xml:space="preserve"> They are usually developed as part of the </w:t>
      </w:r>
      <w:r w:rsidRPr="00027A99">
        <w:rPr>
          <w:noProof/>
          <w:lang w:val="en-IE"/>
        </w:rPr>
        <w:lastRenderedPageBreak/>
        <w:t xml:space="preserve">quality assurance strategy of higher education institutions, acknowledging their primary responsibility for the quality of their provisions and </w:t>
      </w:r>
      <w:r w:rsidRPr="00027A99">
        <w:rPr>
          <w:noProof/>
        </w:rPr>
        <w:t>its assurance.</w:t>
      </w:r>
    </w:p>
    <w:p w14:paraId="3E7B87FD" w14:textId="77777777" w:rsidR="00145B2E" w:rsidRPr="00027A99" w:rsidRDefault="00145B2E" w:rsidP="000A03C3">
      <w:pPr>
        <w:pStyle w:val="Point0letter"/>
        <w:numPr>
          <w:ilvl w:val="1"/>
          <w:numId w:val="10"/>
        </w:numPr>
        <w:rPr>
          <w:rFonts w:eastAsia="Calibri"/>
          <w:noProof/>
        </w:rPr>
      </w:pPr>
      <w:r w:rsidRPr="00027A99">
        <w:rPr>
          <w:rFonts w:eastAsia="Calibri"/>
          <w:b/>
          <w:bCs/>
          <w:noProof/>
        </w:rPr>
        <w:t>External quality assurance</w:t>
      </w:r>
      <w:r w:rsidRPr="00027A99">
        <w:rPr>
          <w:rFonts w:eastAsia="Calibri"/>
          <w:noProof/>
        </w:rPr>
        <w:t xml:space="preserve"> refers to the processes carried out by quality assurance agencies. </w:t>
      </w:r>
    </w:p>
    <w:p w14:paraId="241CD4AC" w14:textId="77777777" w:rsidR="00145B2E" w:rsidRPr="00027A99" w:rsidRDefault="00145B2E" w:rsidP="000A03C3">
      <w:pPr>
        <w:pStyle w:val="Point0letter"/>
        <w:numPr>
          <w:ilvl w:val="1"/>
          <w:numId w:val="10"/>
        </w:numPr>
        <w:rPr>
          <w:rFonts w:eastAsia="Calibri"/>
          <w:noProof/>
        </w:rPr>
      </w:pPr>
      <w:r w:rsidRPr="00027A99">
        <w:rPr>
          <w:rFonts w:eastAsia="Calibri"/>
          <w:b/>
          <w:bCs/>
          <w:noProof/>
        </w:rPr>
        <w:t>Institutional approach to external quality assurance</w:t>
      </w:r>
      <w:r w:rsidRPr="00027A99">
        <w:rPr>
          <w:rFonts w:eastAsia="Calibri"/>
          <w:noProof/>
        </w:rPr>
        <w:t xml:space="preserve"> means that the institution needs to go through an external quality assurance process at institutional level </w:t>
      </w:r>
      <w:r w:rsidR="009F548D" w:rsidRPr="00027A99">
        <w:rPr>
          <w:rFonts w:eastAsia="Calibri"/>
          <w:noProof/>
        </w:rPr>
        <w:t>only, to</w:t>
      </w:r>
      <w:r w:rsidRPr="00027A99">
        <w:rPr>
          <w:rFonts w:eastAsia="Calibri"/>
          <w:noProof/>
        </w:rPr>
        <w:t xml:space="preserve"> assess the effectiveness of the internal quality assurance processes of the institution, and whether the institution has a sufficiently mature quality culture to ensure the high quality of its learning provisions. It allows the institution to develop and deliver programmes without the need for an external quality review at programme level (this is called self-accreditation in many countries).</w:t>
      </w:r>
    </w:p>
    <w:p w14:paraId="01178336" w14:textId="77777777" w:rsidR="00145B2E" w:rsidRPr="00027A99" w:rsidRDefault="00145B2E" w:rsidP="000A03C3">
      <w:pPr>
        <w:pStyle w:val="Point0letter"/>
        <w:numPr>
          <w:ilvl w:val="1"/>
          <w:numId w:val="10"/>
        </w:numPr>
        <w:rPr>
          <w:rFonts w:eastAsia="Calibri"/>
          <w:noProof/>
        </w:rPr>
      </w:pPr>
      <w:r w:rsidRPr="00027A99">
        <w:rPr>
          <w:rFonts w:eastAsia="Calibri"/>
          <w:b/>
          <w:bCs/>
          <w:noProof/>
        </w:rPr>
        <w:t>Programme approach to external quality assurance</w:t>
      </w:r>
      <w:r w:rsidRPr="00027A99">
        <w:rPr>
          <w:rFonts w:eastAsia="Calibri"/>
          <w:noProof/>
        </w:rPr>
        <w:t xml:space="preserve"> means that each individual programme (or group of programmes) to be delivered by one or more higher education institution needs to go through an external quality assurance process review. </w:t>
      </w:r>
    </w:p>
    <w:p w14:paraId="7E114EFC" w14:textId="77777777" w:rsidR="00145B2E" w:rsidRPr="00027A99" w:rsidRDefault="00145B2E" w:rsidP="000A03C3">
      <w:pPr>
        <w:pStyle w:val="Point0letter"/>
        <w:numPr>
          <w:ilvl w:val="1"/>
          <w:numId w:val="10"/>
        </w:numPr>
        <w:rPr>
          <w:rFonts w:eastAsia="Calibri"/>
          <w:noProof/>
        </w:rPr>
      </w:pPr>
      <w:r w:rsidRPr="00027A99">
        <w:rPr>
          <w:rFonts w:eastAsia="Calibri"/>
          <w:b/>
          <w:bCs/>
          <w:noProof/>
        </w:rPr>
        <w:t>Combined approach to external quality assurance</w:t>
      </w:r>
      <w:r w:rsidRPr="00027A99">
        <w:rPr>
          <w:rFonts w:eastAsia="Calibri"/>
          <w:noProof/>
        </w:rPr>
        <w:t xml:space="preserve"> refers to a situation where a higher education system has both institutional and programme approaches to external quality assurance. This is the case in most higher education systems in the EU</w:t>
      </w:r>
      <w:r w:rsidRPr="00027A99">
        <w:rPr>
          <w:rStyle w:val="Allmrkuseviide"/>
          <w:rFonts w:eastAsia="Calibri"/>
          <w:noProof/>
        </w:rPr>
        <w:footnoteReference w:id="6"/>
      </w:r>
      <w:r w:rsidRPr="00027A99">
        <w:rPr>
          <w:rFonts w:eastAsia="Calibri"/>
          <w:noProof/>
        </w:rPr>
        <w:t>.</w:t>
      </w:r>
    </w:p>
    <w:sectPr w:rsidR="00145B2E" w:rsidRPr="00027A99" w:rsidSect="001D0895">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E7F88" w14:textId="77777777" w:rsidR="005109F0" w:rsidRDefault="005109F0" w:rsidP="00A727D0">
      <w:pPr>
        <w:spacing w:before="0" w:after="0"/>
      </w:pPr>
      <w:r>
        <w:separator/>
      </w:r>
    </w:p>
  </w:endnote>
  <w:endnote w:type="continuationSeparator" w:id="0">
    <w:p w14:paraId="48384A63" w14:textId="77777777" w:rsidR="005109F0" w:rsidRDefault="005109F0" w:rsidP="00A727D0">
      <w:pPr>
        <w:spacing w:before="0" w:after="0"/>
      </w:pPr>
      <w:r>
        <w:continuationSeparator/>
      </w:r>
    </w:p>
  </w:endnote>
  <w:endnote w:type="continuationNotice" w:id="1">
    <w:p w14:paraId="071CD3A0" w14:textId="77777777" w:rsidR="005109F0" w:rsidRDefault="005109F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ource Sans Pro">
    <w:altName w:val="Cambria Math"/>
    <w:charset w:val="00"/>
    <w:family w:val="swiss"/>
    <w:pitch w:val="variable"/>
    <w:sig w:usb0="600002F7" w:usb1="02000001" w:usb2="00000000" w:usb3="00000000" w:csb0="0000019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5BA83" w14:textId="77777777" w:rsidR="00D66F2B" w:rsidRDefault="00D66F2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FB374E" w:rsidRPr="00D94637" w14:paraId="62F961EE" w14:textId="77777777" w:rsidTr="00FB374E">
      <w:trPr>
        <w:jc w:val="center"/>
      </w:trPr>
      <w:tc>
        <w:tcPr>
          <w:tcW w:w="5000" w:type="pct"/>
          <w:gridSpan w:val="7"/>
          <w:shd w:val="clear" w:color="auto" w:fill="auto"/>
          <w:tcMar>
            <w:top w:w="57" w:type="dxa"/>
          </w:tcMar>
        </w:tcPr>
        <w:p w14:paraId="52D2259A" w14:textId="77777777" w:rsidR="00FB374E" w:rsidRPr="00D94637" w:rsidRDefault="00FB374E" w:rsidP="00D94637">
          <w:pPr>
            <w:pStyle w:val="FooterText"/>
            <w:pBdr>
              <w:top w:val="single" w:sz="4" w:space="1" w:color="auto"/>
            </w:pBdr>
            <w:spacing w:before="200"/>
            <w:rPr>
              <w:sz w:val="2"/>
              <w:szCs w:val="2"/>
            </w:rPr>
          </w:pPr>
          <w:bookmarkStart w:id="1" w:name="FOOTER_STANDARD"/>
        </w:p>
      </w:tc>
    </w:tr>
    <w:tr w:rsidR="00FB374E" w:rsidRPr="00B310DC" w14:paraId="76394B27" w14:textId="77777777" w:rsidTr="00FB374E">
      <w:trPr>
        <w:jc w:val="center"/>
      </w:trPr>
      <w:tc>
        <w:tcPr>
          <w:tcW w:w="2500" w:type="pct"/>
          <w:gridSpan w:val="2"/>
          <w:shd w:val="clear" w:color="auto" w:fill="auto"/>
          <w:tcMar>
            <w:top w:w="0" w:type="dxa"/>
          </w:tcMar>
        </w:tcPr>
        <w:p w14:paraId="142ED143" w14:textId="107F6235" w:rsidR="00FB374E" w:rsidRPr="00AD7BF2" w:rsidRDefault="00FB374E" w:rsidP="004F54B2">
          <w:pPr>
            <w:pStyle w:val="FooterText"/>
          </w:pPr>
          <w:r>
            <w:t>8517/24</w:t>
          </w:r>
          <w:r w:rsidRPr="002511D8">
            <w:t xml:space="preserve"> </w:t>
          </w:r>
          <w:r>
            <w:t>ADD 1</w:t>
          </w:r>
        </w:p>
      </w:tc>
      <w:tc>
        <w:tcPr>
          <w:tcW w:w="625" w:type="pct"/>
          <w:shd w:val="clear" w:color="auto" w:fill="auto"/>
          <w:tcMar>
            <w:top w:w="0" w:type="dxa"/>
          </w:tcMar>
        </w:tcPr>
        <w:p w14:paraId="631EBD19" w14:textId="77777777" w:rsidR="00FB374E" w:rsidRPr="00AD7BF2" w:rsidRDefault="00FB374E" w:rsidP="00D94637">
          <w:pPr>
            <w:pStyle w:val="FooterText"/>
            <w:jc w:val="center"/>
          </w:pPr>
        </w:p>
      </w:tc>
      <w:tc>
        <w:tcPr>
          <w:tcW w:w="1286" w:type="pct"/>
          <w:gridSpan w:val="3"/>
          <w:shd w:val="clear" w:color="auto" w:fill="auto"/>
          <w:tcMar>
            <w:top w:w="0" w:type="dxa"/>
          </w:tcMar>
        </w:tcPr>
        <w:p w14:paraId="2D49460B" w14:textId="1B14BF05" w:rsidR="00FB374E" w:rsidRPr="002511D8" w:rsidRDefault="00FB374E" w:rsidP="00D94637">
          <w:pPr>
            <w:pStyle w:val="FooterText"/>
            <w:jc w:val="center"/>
          </w:pPr>
          <w:r>
            <w:t>CC/fco</w:t>
          </w:r>
        </w:p>
      </w:tc>
      <w:tc>
        <w:tcPr>
          <w:tcW w:w="589" w:type="pct"/>
          <w:shd w:val="clear" w:color="auto" w:fill="auto"/>
          <w:tcMar>
            <w:top w:w="0" w:type="dxa"/>
          </w:tcMar>
        </w:tcPr>
        <w:p w14:paraId="6F10E54A" w14:textId="50C74169" w:rsidR="00FB374E" w:rsidRPr="00B310DC" w:rsidRDefault="00FB374E" w:rsidP="00D94637">
          <w:pPr>
            <w:pStyle w:val="FooterText"/>
            <w:jc w:val="right"/>
          </w:pPr>
          <w:r>
            <w:fldChar w:fldCharType="begin"/>
          </w:r>
          <w:r>
            <w:instrText xml:space="preserve"> PAGE  \* MERGEFORMAT </w:instrText>
          </w:r>
          <w:r>
            <w:fldChar w:fldCharType="separate"/>
          </w:r>
          <w:r>
            <w:rPr>
              <w:noProof/>
            </w:rPr>
            <w:t>0</w:t>
          </w:r>
          <w:r>
            <w:fldChar w:fldCharType="end"/>
          </w:r>
        </w:p>
      </w:tc>
    </w:tr>
    <w:tr w:rsidR="00FB374E" w:rsidRPr="00D94637" w14:paraId="11F4E0BE" w14:textId="77777777" w:rsidTr="00FB374E">
      <w:trPr>
        <w:jc w:val="center"/>
      </w:trPr>
      <w:tc>
        <w:tcPr>
          <w:tcW w:w="1774" w:type="pct"/>
          <w:shd w:val="clear" w:color="auto" w:fill="auto"/>
        </w:tcPr>
        <w:p w14:paraId="0F05205D" w14:textId="5B659F72" w:rsidR="00FB374E" w:rsidRPr="00AD7BF2" w:rsidRDefault="00FB374E" w:rsidP="00D94637">
          <w:pPr>
            <w:pStyle w:val="FooterText"/>
            <w:spacing w:before="40"/>
          </w:pPr>
        </w:p>
      </w:tc>
      <w:tc>
        <w:tcPr>
          <w:tcW w:w="1455" w:type="pct"/>
          <w:gridSpan w:val="3"/>
          <w:shd w:val="clear" w:color="auto" w:fill="auto"/>
        </w:tcPr>
        <w:p w14:paraId="52B759BD" w14:textId="20D06685" w:rsidR="00FB374E" w:rsidRPr="00AD7BF2" w:rsidRDefault="00FB374E" w:rsidP="00D204D6">
          <w:pPr>
            <w:pStyle w:val="FooterText"/>
            <w:spacing w:before="40"/>
            <w:jc w:val="center"/>
          </w:pPr>
          <w:r>
            <w:t>TREE.1.B</w:t>
          </w:r>
        </w:p>
      </w:tc>
      <w:tc>
        <w:tcPr>
          <w:tcW w:w="742" w:type="pct"/>
          <w:shd w:val="clear" w:color="auto" w:fill="auto"/>
        </w:tcPr>
        <w:p w14:paraId="5EFA8C36" w14:textId="5247920B" w:rsidR="00FB374E" w:rsidRPr="00D94637" w:rsidRDefault="00FB374E" w:rsidP="002F0099">
          <w:pPr>
            <w:pStyle w:val="FooterText"/>
            <w:jc w:val="center"/>
            <w:rPr>
              <w:b/>
              <w:position w:val="-4"/>
              <w:sz w:val="36"/>
            </w:rPr>
          </w:pPr>
        </w:p>
      </w:tc>
      <w:tc>
        <w:tcPr>
          <w:tcW w:w="1029" w:type="pct"/>
          <w:gridSpan w:val="2"/>
          <w:shd w:val="clear" w:color="auto" w:fill="auto"/>
        </w:tcPr>
        <w:p w14:paraId="4CE1EAAE" w14:textId="1E566C63" w:rsidR="00FB374E" w:rsidRPr="00695BAF" w:rsidRDefault="00FB374E" w:rsidP="00D94637">
          <w:pPr>
            <w:pStyle w:val="FooterText"/>
            <w:jc w:val="right"/>
            <w:rPr>
              <w:caps/>
              <w:spacing w:val="-20"/>
              <w:sz w:val="16"/>
            </w:rPr>
          </w:pPr>
          <w:r>
            <w:rPr>
              <w:b/>
              <w:caps/>
              <w:spacing w:val="-20"/>
              <w:position w:val="-4"/>
              <w:sz w:val="36"/>
            </w:rPr>
            <w:t>EN</w:t>
          </w:r>
        </w:p>
      </w:tc>
    </w:tr>
    <w:bookmarkEnd w:id="1"/>
  </w:tbl>
  <w:p w14:paraId="0367CE3E" w14:textId="19F81298" w:rsidR="001D0895" w:rsidRPr="00FB374E" w:rsidRDefault="001D0895" w:rsidP="00FB374E">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FB374E" w:rsidRPr="00D94637" w14:paraId="0E8CEECB" w14:textId="77777777" w:rsidTr="00FB374E">
      <w:trPr>
        <w:jc w:val="center"/>
      </w:trPr>
      <w:tc>
        <w:tcPr>
          <w:tcW w:w="5000" w:type="pct"/>
          <w:gridSpan w:val="7"/>
          <w:shd w:val="clear" w:color="auto" w:fill="auto"/>
          <w:tcMar>
            <w:top w:w="57" w:type="dxa"/>
          </w:tcMar>
        </w:tcPr>
        <w:p w14:paraId="2B12E2A0" w14:textId="77777777" w:rsidR="00FB374E" w:rsidRPr="00D94637" w:rsidRDefault="00FB374E" w:rsidP="00D94637">
          <w:pPr>
            <w:pStyle w:val="FooterText"/>
            <w:pBdr>
              <w:top w:val="single" w:sz="4" w:space="1" w:color="auto"/>
            </w:pBdr>
            <w:spacing w:before="200"/>
            <w:rPr>
              <w:sz w:val="2"/>
              <w:szCs w:val="2"/>
            </w:rPr>
          </w:pPr>
        </w:p>
      </w:tc>
    </w:tr>
    <w:tr w:rsidR="00FB374E" w:rsidRPr="00B310DC" w14:paraId="65DC86A4" w14:textId="77777777" w:rsidTr="00FB374E">
      <w:trPr>
        <w:jc w:val="center"/>
      </w:trPr>
      <w:tc>
        <w:tcPr>
          <w:tcW w:w="2500" w:type="pct"/>
          <w:gridSpan w:val="2"/>
          <w:shd w:val="clear" w:color="auto" w:fill="auto"/>
          <w:tcMar>
            <w:top w:w="0" w:type="dxa"/>
          </w:tcMar>
        </w:tcPr>
        <w:p w14:paraId="4FB18CFB" w14:textId="29D67C86" w:rsidR="00FB374E" w:rsidRPr="00AD7BF2" w:rsidRDefault="00FB374E" w:rsidP="004F54B2">
          <w:pPr>
            <w:pStyle w:val="FooterText"/>
          </w:pPr>
          <w:r>
            <w:t>8517/24</w:t>
          </w:r>
          <w:r w:rsidRPr="002511D8">
            <w:t xml:space="preserve"> </w:t>
          </w:r>
          <w:r>
            <w:t>ADD 1</w:t>
          </w:r>
        </w:p>
      </w:tc>
      <w:tc>
        <w:tcPr>
          <w:tcW w:w="625" w:type="pct"/>
          <w:shd w:val="clear" w:color="auto" w:fill="auto"/>
          <w:tcMar>
            <w:top w:w="0" w:type="dxa"/>
          </w:tcMar>
        </w:tcPr>
        <w:p w14:paraId="697A4B9A" w14:textId="77777777" w:rsidR="00FB374E" w:rsidRPr="00AD7BF2" w:rsidRDefault="00FB374E" w:rsidP="00D94637">
          <w:pPr>
            <w:pStyle w:val="FooterText"/>
            <w:jc w:val="center"/>
          </w:pPr>
        </w:p>
      </w:tc>
      <w:tc>
        <w:tcPr>
          <w:tcW w:w="1286" w:type="pct"/>
          <w:gridSpan w:val="3"/>
          <w:shd w:val="clear" w:color="auto" w:fill="auto"/>
          <w:tcMar>
            <w:top w:w="0" w:type="dxa"/>
          </w:tcMar>
        </w:tcPr>
        <w:p w14:paraId="13B34BA8" w14:textId="493D8306" w:rsidR="00FB374E" w:rsidRPr="002511D8" w:rsidRDefault="00FB374E" w:rsidP="00D94637">
          <w:pPr>
            <w:pStyle w:val="FooterText"/>
            <w:jc w:val="center"/>
          </w:pPr>
          <w:r>
            <w:t>CC/fco</w:t>
          </w:r>
        </w:p>
      </w:tc>
      <w:tc>
        <w:tcPr>
          <w:tcW w:w="589" w:type="pct"/>
          <w:shd w:val="clear" w:color="auto" w:fill="auto"/>
          <w:tcMar>
            <w:top w:w="0" w:type="dxa"/>
          </w:tcMar>
        </w:tcPr>
        <w:p w14:paraId="606A3768" w14:textId="03B5B84C" w:rsidR="00FB374E" w:rsidRPr="00B310DC" w:rsidRDefault="00FB374E" w:rsidP="00D94637">
          <w:pPr>
            <w:pStyle w:val="FooterText"/>
            <w:jc w:val="right"/>
          </w:pPr>
        </w:p>
      </w:tc>
    </w:tr>
    <w:tr w:rsidR="00FB374E" w:rsidRPr="00D94637" w14:paraId="252F2D37" w14:textId="77777777" w:rsidTr="00FB374E">
      <w:trPr>
        <w:jc w:val="center"/>
      </w:trPr>
      <w:tc>
        <w:tcPr>
          <w:tcW w:w="1774" w:type="pct"/>
          <w:shd w:val="clear" w:color="auto" w:fill="auto"/>
        </w:tcPr>
        <w:p w14:paraId="58263711" w14:textId="7D0E789F" w:rsidR="00FB374E" w:rsidRPr="00AD7BF2" w:rsidRDefault="00FB374E" w:rsidP="00D94637">
          <w:pPr>
            <w:pStyle w:val="FooterText"/>
            <w:spacing w:before="40"/>
          </w:pPr>
        </w:p>
      </w:tc>
      <w:tc>
        <w:tcPr>
          <w:tcW w:w="1455" w:type="pct"/>
          <w:gridSpan w:val="3"/>
          <w:shd w:val="clear" w:color="auto" w:fill="auto"/>
        </w:tcPr>
        <w:p w14:paraId="4D1B59D2" w14:textId="0F8A7CD7" w:rsidR="00FB374E" w:rsidRPr="00AD7BF2" w:rsidRDefault="00FB374E" w:rsidP="00D204D6">
          <w:pPr>
            <w:pStyle w:val="FooterText"/>
            <w:spacing w:before="40"/>
            <w:jc w:val="center"/>
          </w:pPr>
          <w:r>
            <w:t>TREE.1.B</w:t>
          </w:r>
        </w:p>
      </w:tc>
      <w:tc>
        <w:tcPr>
          <w:tcW w:w="742" w:type="pct"/>
          <w:shd w:val="clear" w:color="auto" w:fill="auto"/>
        </w:tcPr>
        <w:p w14:paraId="2D51B48B" w14:textId="0FCB6FB6" w:rsidR="00FB374E" w:rsidRPr="00D94637" w:rsidRDefault="00FB374E" w:rsidP="002F0099">
          <w:pPr>
            <w:pStyle w:val="FooterText"/>
            <w:jc w:val="center"/>
            <w:rPr>
              <w:b/>
              <w:position w:val="-4"/>
              <w:sz w:val="36"/>
            </w:rPr>
          </w:pPr>
        </w:p>
      </w:tc>
      <w:tc>
        <w:tcPr>
          <w:tcW w:w="1029" w:type="pct"/>
          <w:gridSpan w:val="2"/>
          <w:shd w:val="clear" w:color="auto" w:fill="auto"/>
        </w:tcPr>
        <w:p w14:paraId="3287F783" w14:textId="24145803" w:rsidR="00FB374E" w:rsidRPr="00695BAF" w:rsidRDefault="00FB374E" w:rsidP="00D94637">
          <w:pPr>
            <w:pStyle w:val="FooterText"/>
            <w:jc w:val="right"/>
            <w:rPr>
              <w:caps/>
              <w:spacing w:val="-20"/>
              <w:sz w:val="16"/>
            </w:rPr>
          </w:pPr>
          <w:r>
            <w:rPr>
              <w:b/>
              <w:caps/>
              <w:spacing w:val="-20"/>
              <w:position w:val="-4"/>
              <w:sz w:val="36"/>
            </w:rPr>
            <w:t>EN</w:t>
          </w:r>
        </w:p>
      </w:tc>
    </w:tr>
  </w:tbl>
  <w:p w14:paraId="782F63AC" w14:textId="77777777" w:rsidR="001D0895" w:rsidRPr="00FB374E" w:rsidRDefault="001D0895" w:rsidP="00FB374E">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A455" w14:textId="77777777" w:rsidR="00FB374E" w:rsidRPr="001D0895" w:rsidRDefault="00FB374E" w:rsidP="001D0895">
    <w:pPr>
      <w:pStyle w:val="Jalus"/>
      <w:rPr>
        <w:rFonts w:ascii="Arial" w:hAnsi="Arial" w:cs="Arial"/>
        <w:b/>
        <w:sz w:val="48"/>
      </w:rPr>
    </w:pPr>
    <w:r w:rsidRPr="001D0895">
      <w:rPr>
        <w:rFonts w:ascii="Arial" w:hAnsi="Arial" w:cs="Arial"/>
        <w:b/>
        <w:sz w:val="48"/>
      </w:rPr>
      <w:t>EN</w:t>
    </w:r>
    <w:r w:rsidRPr="001D0895">
      <w:rPr>
        <w:rFonts w:ascii="Arial" w:hAnsi="Arial" w:cs="Arial"/>
        <w:b/>
        <w:sz w:val="48"/>
      </w:rPr>
      <w:tab/>
    </w:r>
    <w:r w:rsidRPr="001D0895">
      <w:rPr>
        <w:rFonts w:ascii="Arial" w:hAnsi="Arial" w:cs="Arial"/>
        <w:b/>
        <w:sz w:val="48"/>
      </w:rPr>
      <w:tab/>
    </w:r>
    <w:r w:rsidRPr="001D0895">
      <w:tab/>
    </w:r>
    <w:r w:rsidRPr="001D0895">
      <w:rPr>
        <w:rFonts w:ascii="Arial" w:hAnsi="Arial" w:cs="Arial"/>
        <w:b/>
        <w:sz w:val="48"/>
      </w:rPr>
      <w:t>EN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4FCBA" w14:textId="77777777" w:rsidR="00FB374E" w:rsidRPr="001D0895" w:rsidRDefault="00FB374E" w:rsidP="001D0895">
    <w:pPr>
      <w:pStyle w:val="Jalus"/>
      <w:rPr>
        <w:rFonts w:ascii="Arial" w:hAnsi="Arial" w:cs="Arial"/>
        <w:b/>
        <w:sz w:val="48"/>
      </w:rPr>
    </w:pPr>
    <w:r w:rsidRPr="001D0895">
      <w:rPr>
        <w:rFonts w:ascii="Arial" w:hAnsi="Arial" w:cs="Arial"/>
        <w:b/>
        <w:sz w:val="48"/>
      </w:rPr>
      <w:t>EN</w:t>
    </w:r>
    <w:r w:rsidRPr="001D0895">
      <w:rPr>
        <w:rFonts w:ascii="Arial" w:hAnsi="Arial" w:cs="Arial"/>
        <w:b/>
        <w:sz w:val="48"/>
      </w:rPr>
      <w:tab/>
    </w:r>
    <w:r w:rsidRPr="001D0895">
      <w:rPr>
        <w:rFonts w:ascii="Arial" w:hAnsi="Arial" w:cs="Arial"/>
        <w:b/>
        <w:sz w:val="48"/>
      </w:rPr>
      <w:tab/>
    </w:r>
    <w:r w:rsidRPr="001D0895">
      <w:tab/>
    </w:r>
    <w:r w:rsidRPr="001D0895">
      <w:rPr>
        <w:rFonts w:ascii="Arial" w:hAnsi="Arial" w:cs="Arial"/>
        <w:b/>
        <w:sz w:val="48"/>
      </w:rPr>
      <w:t>EN</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AD33E" w14:textId="77777777" w:rsidR="00FB374E" w:rsidRPr="001D0895" w:rsidRDefault="00FB374E" w:rsidP="001D0895">
    <w:pPr>
      <w:pStyle w:val="Jalu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C1411" w14:textId="77777777" w:rsidR="001D0895" w:rsidRDefault="001D0895">
    <w:pPr>
      <w:pStyle w:val="Jalu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81C70" w14:textId="798142F5" w:rsidR="001D0895" w:rsidRPr="001D0895" w:rsidRDefault="001D0895" w:rsidP="001D0895">
    <w:pPr>
      <w:pStyle w:val="Jalus"/>
      <w:rPr>
        <w:rFonts w:ascii="Arial" w:hAnsi="Arial" w:cs="Arial"/>
        <w:b/>
        <w:sz w:val="48"/>
      </w:rPr>
    </w:pPr>
    <w:r w:rsidRPr="001D0895">
      <w:rPr>
        <w:rFonts w:ascii="Arial" w:hAnsi="Arial" w:cs="Arial"/>
        <w:b/>
        <w:sz w:val="48"/>
      </w:rPr>
      <w:t>EN</w:t>
    </w:r>
    <w:r w:rsidRPr="001D0895">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rsidRPr="001D0895">
      <w:tab/>
    </w:r>
    <w:r w:rsidRPr="001D0895">
      <w:rPr>
        <w:rFonts w:ascii="Arial" w:hAnsi="Arial" w:cs="Arial"/>
        <w:b/>
        <w:sz w:val="48"/>
      </w:rPr>
      <w:t>EN</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A0C78" w14:textId="77777777" w:rsidR="001D0895" w:rsidRDefault="001D0895" w:rsidP="001D089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B02C9" w14:textId="77777777" w:rsidR="005109F0" w:rsidRDefault="005109F0" w:rsidP="00A727D0">
      <w:pPr>
        <w:spacing w:before="0" w:after="0"/>
      </w:pPr>
      <w:r>
        <w:separator/>
      </w:r>
    </w:p>
  </w:footnote>
  <w:footnote w:type="continuationSeparator" w:id="0">
    <w:p w14:paraId="1CD1A464" w14:textId="77777777" w:rsidR="005109F0" w:rsidRDefault="005109F0" w:rsidP="00A727D0">
      <w:pPr>
        <w:spacing w:before="0" w:after="0"/>
      </w:pPr>
      <w:r>
        <w:continuationSeparator/>
      </w:r>
    </w:p>
  </w:footnote>
  <w:footnote w:type="continuationNotice" w:id="1">
    <w:p w14:paraId="575CF3E8" w14:textId="77777777" w:rsidR="005109F0" w:rsidRDefault="005109F0">
      <w:pPr>
        <w:spacing w:before="0" w:after="0"/>
      </w:pPr>
    </w:p>
  </w:footnote>
  <w:footnote w:id="2">
    <w:p w14:paraId="32840106" w14:textId="30084E0A" w:rsidR="00225006" w:rsidRPr="00716B4B" w:rsidRDefault="00225006" w:rsidP="0065646D">
      <w:pPr>
        <w:pStyle w:val="Allmrkusetekst"/>
        <w:rPr>
          <w:lang w:val="en-IE"/>
        </w:rPr>
      </w:pPr>
      <w:r w:rsidRPr="00811263">
        <w:rPr>
          <w:rStyle w:val="Allmrkuseviide"/>
        </w:rPr>
        <w:footnoteRef/>
      </w:r>
      <w:r w:rsidR="00811263">
        <w:tab/>
      </w:r>
      <w:hyperlink r:id="rId1" w:history="1">
        <w:r>
          <w:rPr>
            <w:rStyle w:val="Hperlink"/>
          </w:rPr>
          <w:t>European_Standards_and_Guidelines_for_Quality_Assurance_in_the_EHEA_2015_MC_613727.pdf</w:t>
        </w:r>
      </w:hyperlink>
      <w:r w:rsidR="0079758A">
        <w:rPr>
          <w:rStyle w:val="Hperlink"/>
        </w:rPr>
        <w:t>.</w:t>
      </w:r>
    </w:p>
  </w:footnote>
  <w:footnote w:id="3">
    <w:p w14:paraId="0D28051F" w14:textId="5B5AA425" w:rsidR="00470A54" w:rsidRPr="00716B4B" w:rsidRDefault="00470A54" w:rsidP="0065646D">
      <w:pPr>
        <w:pStyle w:val="Allmrkusetekst"/>
        <w:rPr>
          <w:lang w:val="en-IE"/>
        </w:rPr>
      </w:pPr>
      <w:r w:rsidRPr="00811263">
        <w:rPr>
          <w:rStyle w:val="Allmrkuseviide"/>
        </w:rPr>
        <w:footnoteRef/>
      </w:r>
      <w:r w:rsidR="00811263">
        <w:tab/>
      </w:r>
      <w:hyperlink r:id="rId2" w:history="1">
        <w:r w:rsidR="001827B1">
          <w:rPr>
            <w:rStyle w:val="Hperlink"/>
          </w:rPr>
          <w:t>The Diploma Supplement | Europass</w:t>
        </w:r>
      </w:hyperlink>
      <w:r w:rsidR="0079758A">
        <w:rPr>
          <w:rStyle w:val="Hperlink"/>
        </w:rPr>
        <w:t>.</w:t>
      </w:r>
    </w:p>
  </w:footnote>
  <w:footnote w:id="4">
    <w:p w14:paraId="6DF4A482" w14:textId="4687D081" w:rsidR="0001696A" w:rsidRPr="003645CE" w:rsidRDefault="0001696A" w:rsidP="0001696A">
      <w:pPr>
        <w:pStyle w:val="Allmrkusetekst"/>
        <w:rPr>
          <w:lang w:val="en-IE"/>
        </w:rPr>
      </w:pPr>
      <w:r>
        <w:rPr>
          <w:rStyle w:val="Allmrkuseviide"/>
        </w:rPr>
        <w:footnoteRef/>
      </w:r>
      <w:r>
        <w:tab/>
        <w:t>Intersectoral components and activities include, but are not limited to, elements such as cooperation with economic and social sectors in curricula design and implementation, internships, work-based learning, secondment / placement, volunteering, service learning, challenge-based approaches.</w:t>
      </w:r>
    </w:p>
  </w:footnote>
  <w:footnote w:id="5">
    <w:p w14:paraId="535923BE" w14:textId="3F580D70" w:rsidR="00027A99" w:rsidRPr="0065646D" w:rsidRDefault="00811263" w:rsidP="0065646D">
      <w:pPr>
        <w:spacing w:before="0" w:after="0"/>
        <w:rPr>
          <w:sz w:val="20"/>
          <w:szCs w:val="20"/>
        </w:rPr>
      </w:pPr>
      <w:r w:rsidRPr="00811263">
        <w:rPr>
          <w:rStyle w:val="Allmrkuseviide"/>
        </w:rPr>
        <w:footnoteRef/>
      </w:r>
      <w:r>
        <w:tab/>
      </w:r>
      <w:hyperlink r:id="rId3" w:history="1">
        <w:r w:rsidR="0065646D" w:rsidRPr="0065646D">
          <w:rPr>
            <w:rStyle w:val="Hperlink"/>
            <w:sz w:val="20"/>
            <w:szCs w:val="20"/>
          </w:rPr>
          <w:t>European Universities initiative | European Education Area (europa.eu)</w:t>
        </w:r>
      </w:hyperlink>
      <w:r w:rsidR="0079758A">
        <w:rPr>
          <w:sz w:val="20"/>
          <w:szCs w:val="20"/>
        </w:rPr>
        <w:t>.</w:t>
      </w:r>
    </w:p>
  </w:footnote>
  <w:footnote w:id="6">
    <w:p w14:paraId="1DBD13AE" w14:textId="77777777" w:rsidR="00145B2E" w:rsidRDefault="00145B2E" w:rsidP="0065646D">
      <w:pPr>
        <w:pStyle w:val="Allmrkusetekst"/>
      </w:pPr>
      <w:r w:rsidRPr="00BC10F6">
        <w:rPr>
          <w:rStyle w:val="Allmrkuseviide"/>
        </w:rPr>
        <w:footnoteRef/>
      </w:r>
      <w:r>
        <w:tab/>
        <w:t>According to responses to a 2023 Commission survey on the implementation of the Council Recommendation on building bridges for effective European higher education cooperation, 14 ministries reported that they apply a combined approach to external quality assurance.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61FE5" w14:textId="77777777" w:rsidR="00D66F2B" w:rsidRDefault="00D66F2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3EA74" w14:textId="29FB4D41" w:rsidR="001D0895" w:rsidRPr="00FB374E" w:rsidRDefault="00FB374E" w:rsidP="00FB374E">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168DF" w14:textId="7006570B" w:rsidR="001D0895" w:rsidRPr="00FB374E" w:rsidRDefault="00FB374E" w:rsidP="00FB374E">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1D3CD0" w14:textId="77777777" w:rsidR="00FB374E" w:rsidRPr="001D0895" w:rsidRDefault="00FB374E" w:rsidP="001D0895">
    <w:pPr>
      <w:pStyle w:val="Pi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78C2B" w14:textId="77777777" w:rsidR="00FB374E" w:rsidRPr="001D0895" w:rsidRDefault="00FB374E" w:rsidP="001D0895">
    <w:pPr>
      <w:pStyle w:val="Pi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5F811" w14:textId="77777777" w:rsidR="00FB374E" w:rsidRPr="001D0895" w:rsidRDefault="00FB374E" w:rsidP="001D0895">
    <w:pPr>
      <w:pStyle w:val="Pi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7D586" w14:textId="77777777" w:rsidR="001D0895" w:rsidRDefault="001D0895">
    <w:pPr>
      <w:pStyle w:val="Pi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BE798" w14:textId="77777777" w:rsidR="001D0895" w:rsidRDefault="001D0895">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14A8EB60"/>
    <w:lvl w:ilvl="0">
      <w:start w:val="1"/>
      <w:numFmt w:val="bullet"/>
      <w:pStyle w:val="Loenditpp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4566ECB2"/>
    <w:lvl w:ilvl="0">
      <w:start w:val="1"/>
      <w:numFmt w:val="bullet"/>
      <w:pStyle w:val="Loenditpp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416CDE4"/>
    <w:lvl w:ilvl="0">
      <w:start w:val="1"/>
      <w:numFmt w:val="bullet"/>
      <w:pStyle w:val="Loenditpp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8D601BE2"/>
    <w:lvl w:ilvl="0">
      <w:start w:val="1"/>
      <w:numFmt w:val="bullet"/>
      <w:pStyle w:val="Loenditpp"/>
      <w:lvlText w:val=""/>
      <w:lvlJc w:val="left"/>
      <w:pPr>
        <w:tabs>
          <w:tab w:val="num" w:pos="360"/>
        </w:tabs>
        <w:ind w:left="360" w:hanging="360"/>
      </w:pPr>
      <w:rPr>
        <w:rFonts w:ascii="Symbol" w:hAnsi="Symbol" w:hint="default"/>
      </w:rPr>
    </w:lvl>
  </w:abstractNum>
  <w:abstractNum w:abstractNumId="4" w15:restartNumberingAfterBreak="0">
    <w:nsid w:val="1B1F34BF"/>
    <w:multiLevelType w:val="multilevel"/>
    <w:tmpl w:val="D19CE4CC"/>
    <w:lvl w:ilvl="0">
      <w:start w:val="1"/>
      <w:numFmt w:val="lowerLetter"/>
      <w:lvlText w:val="(%1)"/>
      <w:lvlJc w:val="left"/>
      <w:pPr>
        <w:tabs>
          <w:tab w:val="num" w:pos="-360"/>
        </w:tabs>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360"/>
        </w:tabs>
        <w:ind w:left="1080" w:hanging="360"/>
      </w:pPr>
      <w:rPr>
        <w:rFonts w:hint="default"/>
      </w:rPr>
    </w:lvl>
    <w:lvl w:ilvl="3">
      <w:start w:val="1"/>
      <w:numFmt w:val="decimal"/>
      <w:lvlText w:val="%4."/>
      <w:lvlJc w:val="left"/>
      <w:pPr>
        <w:tabs>
          <w:tab w:val="num" w:pos="-360"/>
        </w:tabs>
        <w:ind w:left="1440" w:hanging="360"/>
      </w:pPr>
      <w:rPr>
        <w:rFonts w:hint="default"/>
      </w:rPr>
    </w:lvl>
    <w:lvl w:ilvl="4">
      <w:start w:val="1"/>
      <w:numFmt w:val="decimal"/>
      <w:lvlText w:val="%5."/>
      <w:lvlJc w:val="left"/>
      <w:pPr>
        <w:tabs>
          <w:tab w:val="num" w:pos="-360"/>
        </w:tabs>
        <w:ind w:left="1800" w:hanging="360"/>
      </w:pPr>
      <w:rPr>
        <w:rFonts w:hint="default"/>
      </w:rPr>
    </w:lvl>
    <w:lvl w:ilvl="5">
      <w:start w:val="1"/>
      <w:numFmt w:val="decimal"/>
      <w:lvlText w:val="%6."/>
      <w:lvlJc w:val="left"/>
      <w:pPr>
        <w:tabs>
          <w:tab w:val="num" w:pos="-360"/>
        </w:tabs>
        <w:ind w:left="2160" w:hanging="360"/>
      </w:pPr>
      <w:rPr>
        <w:rFonts w:hint="default"/>
      </w:rPr>
    </w:lvl>
    <w:lvl w:ilvl="6">
      <w:start w:val="1"/>
      <w:numFmt w:val="decimal"/>
      <w:lvlText w:val="%7."/>
      <w:lvlJc w:val="left"/>
      <w:pPr>
        <w:tabs>
          <w:tab w:val="num" w:pos="-360"/>
        </w:tabs>
        <w:ind w:left="2520" w:hanging="360"/>
      </w:pPr>
      <w:rPr>
        <w:rFonts w:hint="default"/>
      </w:rPr>
    </w:lvl>
    <w:lvl w:ilvl="7">
      <w:start w:val="1"/>
      <w:numFmt w:val="decimal"/>
      <w:lvlText w:val="%8."/>
      <w:lvlJc w:val="left"/>
      <w:pPr>
        <w:tabs>
          <w:tab w:val="num" w:pos="-360"/>
        </w:tabs>
        <w:ind w:left="2880" w:hanging="360"/>
      </w:pPr>
      <w:rPr>
        <w:rFonts w:hint="default"/>
      </w:rPr>
    </w:lvl>
    <w:lvl w:ilvl="8">
      <w:start w:val="1"/>
      <w:numFmt w:val="decimal"/>
      <w:lvlText w:val="%9."/>
      <w:lvlJc w:val="left"/>
      <w:pPr>
        <w:tabs>
          <w:tab w:val="num" w:pos="-360"/>
        </w:tabs>
        <w:ind w:left="3240" w:hanging="360"/>
      </w:pPr>
      <w:rPr>
        <w:rFonts w:hint="default"/>
      </w:rPr>
    </w:lvl>
  </w:abstractNum>
  <w:abstractNum w:abstractNumId="5"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decimal"/>
      <w:pStyle w:val="NumPar5"/>
      <w:lvlText w:val="%1.%2.%3.%4.%5."/>
      <w:lvlJc w:val="left"/>
      <w:pPr>
        <w:tabs>
          <w:tab w:val="num" w:pos="1417"/>
        </w:tabs>
        <w:ind w:left="1417" w:hanging="1417"/>
      </w:pPr>
    </w:lvl>
    <w:lvl w:ilvl="5">
      <w:start w:val="1"/>
      <w:numFmt w:val="decimal"/>
      <w:pStyle w:val="NumPar6"/>
      <w:lvlText w:val="%1.%2.%3.%4.%5.%6."/>
      <w:lvlJc w:val="left"/>
      <w:pPr>
        <w:tabs>
          <w:tab w:val="num" w:pos="1417"/>
        </w:tabs>
        <w:ind w:left="1417" w:hanging="1417"/>
      </w:pPr>
    </w:lvl>
    <w:lvl w:ilvl="6">
      <w:start w:val="1"/>
      <w:numFmt w:val="decimal"/>
      <w:pStyle w:val="NumPar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904D6DA"/>
    <w:multiLevelType w:val="hybridMultilevel"/>
    <w:tmpl w:val="35742292"/>
    <w:lvl w:ilvl="0" w:tplc="7C621B5A">
      <w:start w:val="1"/>
      <w:numFmt w:val="lowerLetter"/>
      <w:lvlText w:val="(%1)"/>
      <w:lvlJc w:val="left"/>
      <w:pPr>
        <w:ind w:left="720" w:hanging="360"/>
      </w:pPr>
    </w:lvl>
    <w:lvl w:ilvl="1" w:tplc="A5C01E90">
      <w:start w:val="1"/>
      <w:numFmt w:val="lowerLetter"/>
      <w:lvlText w:val="%2."/>
      <w:lvlJc w:val="left"/>
      <w:pPr>
        <w:ind w:left="1440" w:hanging="360"/>
      </w:pPr>
    </w:lvl>
    <w:lvl w:ilvl="2" w:tplc="E730D896">
      <w:start w:val="1"/>
      <w:numFmt w:val="lowerRoman"/>
      <w:lvlText w:val="%3."/>
      <w:lvlJc w:val="right"/>
      <w:pPr>
        <w:ind w:left="2160" w:hanging="180"/>
      </w:pPr>
    </w:lvl>
    <w:lvl w:ilvl="3" w:tplc="A6BA9EFE">
      <w:start w:val="1"/>
      <w:numFmt w:val="decimal"/>
      <w:lvlText w:val="%4."/>
      <w:lvlJc w:val="left"/>
      <w:pPr>
        <w:ind w:left="2880" w:hanging="360"/>
      </w:pPr>
    </w:lvl>
    <w:lvl w:ilvl="4" w:tplc="25EAD682">
      <w:start w:val="1"/>
      <w:numFmt w:val="lowerLetter"/>
      <w:lvlText w:val="%5."/>
      <w:lvlJc w:val="left"/>
      <w:pPr>
        <w:ind w:left="3600" w:hanging="360"/>
      </w:pPr>
    </w:lvl>
    <w:lvl w:ilvl="5" w:tplc="CED2ED3E">
      <w:start w:val="1"/>
      <w:numFmt w:val="lowerRoman"/>
      <w:lvlText w:val="%6."/>
      <w:lvlJc w:val="right"/>
      <w:pPr>
        <w:ind w:left="4320" w:hanging="180"/>
      </w:pPr>
    </w:lvl>
    <w:lvl w:ilvl="6" w:tplc="22D22A68">
      <w:start w:val="1"/>
      <w:numFmt w:val="decimal"/>
      <w:lvlText w:val="%7."/>
      <w:lvlJc w:val="left"/>
      <w:pPr>
        <w:ind w:left="5040" w:hanging="360"/>
      </w:pPr>
    </w:lvl>
    <w:lvl w:ilvl="7" w:tplc="48EA8638">
      <w:start w:val="1"/>
      <w:numFmt w:val="lowerLetter"/>
      <w:lvlText w:val="%8."/>
      <w:lvlJc w:val="left"/>
      <w:pPr>
        <w:ind w:left="5760" w:hanging="360"/>
      </w:pPr>
    </w:lvl>
    <w:lvl w:ilvl="8" w:tplc="9CA02706">
      <w:start w:val="1"/>
      <w:numFmt w:val="lowerRoman"/>
      <w:lvlText w:val="%9."/>
      <w:lvlJc w:val="right"/>
      <w:pPr>
        <w:ind w:left="6480" w:hanging="180"/>
      </w:pPr>
    </w:lvl>
  </w:abstractNum>
  <w:abstractNum w:abstractNumId="8"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15:restartNumberingAfterBreak="0">
    <w:nsid w:val="40D31E34"/>
    <w:multiLevelType w:val="multilevel"/>
    <w:tmpl w:val="082E2CF0"/>
    <w:lvl w:ilvl="0">
      <w:start w:val="1"/>
      <w:numFmt w:val="lowerLetter"/>
      <w:lvlText w:val="(%1)"/>
      <w:lvlJc w:val="left"/>
      <w:pPr>
        <w:tabs>
          <w:tab w:val="num" w:pos="-360"/>
        </w:tabs>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360"/>
        </w:tabs>
        <w:ind w:left="1080" w:hanging="360"/>
      </w:pPr>
      <w:rPr>
        <w:rFonts w:hint="default"/>
      </w:rPr>
    </w:lvl>
    <w:lvl w:ilvl="3">
      <w:start w:val="1"/>
      <w:numFmt w:val="decimal"/>
      <w:lvlText w:val="%4."/>
      <w:lvlJc w:val="left"/>
      <w:pPr>
        <w:tabs>
          <w:tab w:val="num" w:pos="-360"/>
        </w:tabs>
        <w:ind w:left="1440" w:hanging="360"/>
      </w:pPr>
      <w:rPr>
        <w:rFonts w:hint="default"/>
      </w:rPr>
    </w:lvl>
    <w:lvl w:ilvl="4">
      <w:start w:val="1"/>
      <w:numFmt w:val="decimal"/>
      <w:lvlText w:val="%5."/>
      <w:lvlJc w:val="left"/>
      <w:pPr>
        <w:tabs>
          <w:tab w:val="num" w:pos="-360"/>
        </w:tabs>
        <w:ind w:left="1800" w:hanging="360"/>
      </w:pPr>
      <w:rPr>
        <w:rFonts w:hint="default"/>
      </w:rPr>
    </w:lvl>
    <w:lvl w:ilvl="5">
      <w:start w:val="1"/>
      <w:numFmt w:val="decimal"/>
      <w:lvlText w:val="%6."/>
      <w:lvlJc w:val="left"/>
      <w:pPr>
        <w:tabs>
          <w:tab w:val="num" w:pos="-360"/>
        </w:tabs>
        <w:ind w:left="2160" w:hanging="360"/>
      </w:pPr>
      <w:rPr>
        <w:rFonts w:hint="default"/>
      </w:rPr>
    </w:lvl>
    <w:lvl w:ilvl="6">
      <w:start w:val="1"/>
      <w:numFmt w:val="decimal"/>
      <w:lvlText w:val="%7."/>
      <w:lvlJc w:val="left"/>
      <w:pPr>
        <w:tabs>
          <w:tab w:val="num" w:pos="-360"/>
        </w:tabs>
        <w:ind w:left="2520" w:hanging="360"/>
      </w:pPr>
      <w:rPr>
        <w:rFonts w:hint="default"/>
      </w:rPr>
    </w:lvl>
    <w:lvl w:ilvl="7">
      <w:start w:val="1"/>
      <w:numFmt w:val="decimal"/>
      <w:lvlText w:val="%8."/>
      <w:lvlJc w:val="left"/>
      <w:pPr>
        <w:tabs>
          <w:tab w:val="num" w:pos="-360"/>
        </w:tabs>
        <w:ind w:left="2880" w:hanging="360"/>
      </w:pPr>
      <w:rPr>
        <w:rFonts w:hint="default"/>
      </w:rPr>
    </w:lvl>
    <w:lvl w:ilvl="8">
      <w:start w:val="1"/>
      <w:numFmt w:val="decimal"/>
      <w:lvlText w:val="%9."/>
      <w:lvlJc w:val="left"/>
      <w:pPr>
        <w:tabs>
          <w:tab w:val="num" w:pos="-360"/>
        </w:tabs>
        <w:ind w:left="3240" w:hanging="360"/>
      </w:pPr>
      <w:rPr>
        <w:rFonts w:hint="default"/>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15:restartNumberingAfterBreak="0">
    <w:nsid w:val="42FC077D"/>
    <w:multiLevelType w:val="singleLevel"/>
    <w:tmpl w:val="4128FD03"/>
    <w:name w:val="Tiret 5"/>
    <w:lvl w:ilvl="0">
      <w:start w:val="1"/>
      <w:numFmt w:val="bullet"/>
      <w:lvlRestart w:val="0"/>
      <w:pStyle w:val="Tiret5"/>
      <w:lvlText w:val="–"/>
      <w:lvlJc w:val="left"/>
      <w:pPr>
        <w:tabs>
          <w:tab w:val="num" w:pos="3685"/>
        </w:tabs>
        <w:ind w:left="3685"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46F6E97"/>
    <w:multiLevelType w:val="hybridMultilevel"/>
    <w:tmpl w:val="81ECC8BE"/>
    <w:lvl w:ilvl="0" w:tplc="CA2CACC8">
      <w:start w:val="1"/>
      <w:numFmt w:val="lowerLetter"/>
      <w:lvlText w:val="(%1)"/>
      <w:lvlJc w:val="left"/>
      <w:pPr>
        <w:ind w:left="720" w:hanging="360"/>
      </w:pPr>
    </w:lvl>
    <w:lvl w:ilvl="1" w:tplc="F1C4A134">
      <w:start w:val="1"/>
      <w:numFmt w:val="lowerLetter"/>
      <w:lvlText w:val="%2."/>
      <w:lvlJc w:val="left"/>
      <w:pPr>
        <w:ind w:left="1440" w:hanging="360"/>
      </w:pPr>
    </w:lvl>
    <w:lvl w:ilvl="2" w:tplc="CF70A02E">
      <w:start w:val="1"/>
      <w:numFmt w:val="lowerRoman"/>
      <w:lvlText w:val="%3."/>
      <w:lvlJc w:val="right"/>
      <w:pPr>
        <w:ind w:left="2160" w:hanging="180"/>
      </w:pPr>
    </w:lvl>
    <w:lvl w:ilvl="3" w:tplc="915E6A8C">
      <w:start w:val="1"/>
      <w:numFmt w:val="decimal"/>
      <w:lvlText w:val="%4."/>
      <w:lvlJc w:val="left"/>
      <w:pPr>
        <w:ind w:left="2880" w:hanging="360"/>
      </w:pPr>
    </w:lvl>
    <w:lvl w:ilvl="4" w:tplc="009A6572">
      <w:start w:val="1"/>
      <w:numFmt w:val="lowerLetter"/>
      <w:lvlText w:val="%5."/>
      <w:lvlJc w:val="left"/>
      <w:pPr>
        <w:ind w:left="3600" w:hanging="360"/>
      </w:pPr>
    </w:lvl>
    <w:lvl w:ilvl="5" w:tplc="4D74AC34">
      <w:start w:val="1"/>
      <w:numFmt w:val="lowerRoman"/>
      <w:lvlText w:val="%6."/>
      <w:lvlJc w:val="right"/>
      <w:pPr>
        <w:ind w:left="4320" w:hanging="180"/>
      </w:pPr>
    </w:lvl>
    <w:lvl w:ilvl="6" w:tplc="F02416F2">
      <w:start w:val="1"/>
      <w:numFmt w:val="decimal"/>
      <w:lvlText w:val="%7."/>
      <w:lvlJc w:val="left"/>
      <w:pPr>
        <w:ind w:left="5040" w:hanging="360"/>
      </w:pPr>
    </w:lvl>
    <w:lvl w:ilvl="7" w:tplc="C1EC1A30">
      <w:start w:val="1"/>
      <w:numFmt w:val="lowerLetter"/>
      <w:lvlText w:val="%8."/>
      <w:lvlJc w:val="left"/>
      <w:pPr>
        <w:ind w:left="5760" w:hanging="360"/>
      </w:pPr>
    </w:lvl>
    <w:lvl w:ilvl="8" w:tplc="F2A2E3B8">
      <w:start w:val="1"/>
      <w:numFmt w:val="lowerRoman"/>
      <w:lvlText w:val="%9."/>
      <w:lvlJc w:val="right"/>
      <w:pPr>
        <w:ind w:left="6480" w:hanging="180"/>
      </w:pPr>
    </w:lvl>
  </w:abstractNum>
  <w:abstractNum w:abstractNumId="16"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15:restartNumberingAfterBreak="0">
    <w:nsid w:val="5A7DEF03"/>
    <w:multiLevelType w:val="hybridMultilevel"/>
    <w:tmpl w:val="2E5AA944"/>
    <w:lvl w:ilvl="0" w:tplc="46EC35FE">
      <w:start w:val="1"/>
      <w:numFmt w:val="lowerLetter"/>
      <w:lvlText w:val="(%1)"/>
      <w:lvlJc w:val="left"/>
      <w:pPr>
        <w:ind w:left="720" w:hanging="360"/>
      </w:pPr>
    </w:lvl>
    <w:lvl w:ilvl="1" w:tplc="C8EA33AC">
      <w:start w:val="1"/>
      <w:numFmt w:val="lowerLetter"/>
      <w:lvlText w:val="%2."/>
      <w:lvlJc w:val="left"/>
      <w:pPr>
        <w:ind w:left="1440" w:hanging="360"/>
      </w:pPr>
    </w:lvl>
    <w:lvl w:ilvl="2" w:tplc="C28C003C">
      <w:start w:val="1"/>
      <w:numFmt w:val="lowerRoman"/>
      <w:lvlText w:val="%3."/>
      <w:lvlJc w:val="right"/>
      <w:pPr>
        <w:ind w:left="2160" w:hanging="180"/>
      </w:pPr>
    </w:lvl>
    <w:lvl w:ilvl="3" w:tplc="6F383D30">
      <w:start w:val="1"/>
      <w:numFmt w:val="decimal"/>
      <w:lvlText w:val="%4."/>
      <w:lvlJc w:val="left"/>
      <w:pPr>
        <w:ind w:left="2880" w:hanging="360"/>
      </w:pPr>
    </w:lvl>
    <w:lvl w:ilvl="4" w:tplc="DA4C40BE">
      <w:start w:val="1"/>
      <w:numFmt w:val="lowerLetter"/>
      <w:lvlText w:val="%5."/>
      <w:lvlJc w:val="left"/>
      <w:pPr>
        <w:ind w:left="3600" w:hanging="360"/>
      </w:pPr>
    </w:lvl>
    <w:lvl w:ilvl="5" w:tplc="4DBED438">
      <w:start w:val="1"/>
      <w:numFmt w:val="lowerRoman"/>
      <w:lvlText w:val="%6."/>
      <w:lvlJc w:val="right"/>
      <w:pPr>
        <w:ind w:left="4320" w:hanging="180"/>
      </w:pPr>
    </w:lvl>
    <w:lvl w:ilvl="6" w:tplc="F22E91B4">
      <w:start w:val="1"/>
      <w:numFmt w:val="decimal"/>
      <w:lvlText w:val="%7."/>
      <w:lvlJc w:val="left"/>
      <w:pPr>
        <w:ind w:left="5040" w:hanging="360"/>
      </w:pPr>
    </w:lvl>
    <w:lvl w:ilvl="7" w:tplc="27567A66">
      <w:start w:val="1"/>
      <w:numFmt w:val="lowerLetter"/>
      <w:lvlText w:val="%8."/>
      <w:lvlJc w:val="left"/>
      <w:pPr>
        <w:ind w:left="5760" w:hanging="360"/>
      </w:pPr>
    </w:lvl>
    <w:lvl w:ilvl="8" w:tplc="134454A4">
      <w:start w:val="1"/>
      <w:numFmt w:val="lowerRoman"/>
      <w:lvlText w:val="%9."/>
      <w:lvlJc w:val="right"/>
      <w:pPr>
        <w:ind w:left="6480" w:hanging="180"/>
      </w:pPr>
    </w:lvl>
  </w:abstractNum>
  <w:abstractNum w:abstractNumId="18"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9"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1" w15:restartNumberingAfterBreak="0">
    <w:nsid w:val="64A12FA4"/>
    <w:multiLevelType w:val="multilevel"/>
    <w:tmpl w:val="428ECF3E"/>
    <w:name w:val="Heading"/>
    <w:lvl w:ilvl="0">
      <w:start w:val="1"/>
      <w:numFmt w:val="decimal"/>
      <w:lvlRestart w:val="0"/>
      <w:pStyle w:val="Pealkiri1"/>
      <w:lvlText w:val="%1."/>
      <w:lvlJc w:val="left"/>
      <w:pPr>
        <w:tabs>
          <w:tab w:val="num" w:pos="850"/>
        </w:tabs>
        <w:ind w:left="850" w:hanging="850"/>
      </w:pPr>
    </w:lvl>
    <w:lvl w:ilvl="1">
      <w:start w:val="1"/>
      <w:numFmt w:val="decimal"/>
      <w:pStyle w:val="Pealkiri2"/>
      <w:lvlText w:val="%1.%2."/>
      <w:lvlJc w:val="left"/>
      <w:pPr>
        <w:tabs>
          <w:tab w:val="num" w:pos="850"/>
        </w:tabs>
        <w:ind w:left="850" w:hanging="850"/>
      </w:pPr>
    </w:lvl>
    <w:lvl w:ilvl="2">
      <w:start w:val="1"/>
      <w:numFmt w:val="decimal"/>
      <w:pStyle w:val="Pealkiri3"/>
      <w:lvlText w:val="%1.%2.%3."/>
      <w:lvlJc w:val="left"/>
      <w:pPr>
        <w:tabs>
          <w:tab w:val="num" w:pos="850"/>
        </w:tabs>
        <w:ind w:left="850" w:hanging="850"/>
      </w:pPr>
    </w:lvl>
    <w:lvl w:ilvl="3">
      <w:start w:val="1"/>
      <w:numFmt w:val="decimal"/>
      <w:pStyle w:val="Pealkiri4"/>
      <w:lvlText w:val="%1.%2.%3.%4."/>
      <w:lvlJc w:val="left"/>
      <w:pPr>
        <w:tabs>
          <w:tab w:val="num" w:pos="850"/>
        </w:tabs>
        <w:ind w:left="850" w:hanging="850"/>
      </w:pPr>
    </w:lvl>
    <w:lvl w:ilvl="4">
      <w:start w:val="1"/>
      <w:numFmt w:val="decimal"/>
      <w:pStyle w:val="Pealkiri5"/>
      <w:lvlText w:val="%1.%2.%3.%4.%5."/>
      <w:lvlJc w:val="left"/>
      <w:pPr>
        <w:tabs>
          <w:tab w:val="num" w:pos="1417"/>
        </w:tabs>
        <w:ind w:left="1417" w:hanging="1417"/>
      </w:pPr>
    </w:lvl>
    <w:lvl w:ilvl="5">
      <w:start w:val="1"/>
      <w:numFmt w:val="decimal"/>
      <w:pStyle w:val="Pealkiri6"/>
      <w:lvlText w:val="%1.%2.%3.%4.%5.%6."/>
      <w:lvlJc w:val="left"/>
      <w:pPr>
        <w:tabs>
          <w:tab w:val="num" w:pos="1417"/>
        </w:tabs>
        <w:ind w:left="1417" w:hanging="1417"/>
      </w:pPr>
    </w:lvl>
    <w:lvl w:ilvl="6">
      <w:start w:val="1"/>
      <w:numFmt w:val="decimal"/>
      <w:pStyle w:val="Pealkiri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15:restartNumberingAfterBreak="0">
    <w:nsid w:val="6A7B2EF9"/>
    <w:multiLevelType w:val="multilevel"/>
    <w:tmpl w:val="AD3C520C"/>
    <w:lvl w:ilvl="0">
      <w:start w:val="1"/>
      <w:numFmt w:val="lowerLetter"/>
      <w:lvlText w:val="(%1)"/>
      <w:lvlJc w:val="left"/>
      <w:pPr>
        <w:tabs>
          <w:tab w:val="num" w:pos="-360"/>
        </w:tabs>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tabs>
          <w:tab w:val="num" w:pos="-360"/>
        </w:tabs>
        <w:ind w:left="1080" w:hanging="360"/>
      </w:pPr>
    </w:lvl>
    <w:lvl w:ilvl="3">
      <w:start w:val="1"/>
      <w:numFmt w:val="decimal"/>
      <w:lvlText w:val="%4."/>
      <w:lvlJc w:val="left"/>
      <w:pPr>
        <w:tabs>
          <w:tab w:val="num" w:pos="-360"/>
        </w:tabs>
        <w:ind w:left="1440" w:hanging="360"/>
      </w:pPr>
    </w:lvl>
    <w:lvl w:ilvl="4">
      <w:start w:val="1"/>
      <w:numFmt w:val="decimal"/>
      <w:lvlText w:val="%5."/>
      <w:lvlJc w:val="left"/>
      <w:pPr>
        <w:tabs>
          <w:tab w:val="num" w:pos="-360"/>
        </w:tabs>
        <w:ind w:left="1800" w:hanging="360"/>
      </w:pPr>
    </w:lvl>
    <w:lvl w:ilvl="5">
      <w:start w:val="1"/>
      <w:numFmt w:val="decimal"/>
      <w:lvlText w:val="%6."/>
      <w:lvlJc w:val="left"/>
      <w:pPr>
        <w:tabs>
          <w:tab w:val="num" w:pos="-360"/>
        </w:tabs>
        <w:ind w:left="2160" w:hanging="360"/>
      </w:pPr>
    </w:lvl>
    <w:lvl w:ilvl="6">
      <w:start w:val="1"/>
      <w:numFmt w:val="decimal"/>
      <w:lvlText w:val="%7."/>
      <w:lvlJc w:val="left"/>
      <w:pPr>
        <w:tabs>
          <w:tab w:val="num" w:pos="-360"/>
        </w:tabs>
        <w:ind w:left="2520" w:hanging="360"/>
      </w:pPr>
    </w:lvl>
    <w:lvl w:ilvl="7">
      <w:start w:val="1"/>
      <w:numFmt w:val="decimal"/>
      <w:lvlText w:val="%8."/>
      <w:lvlJc w:val="left"/>
      <w:pPr>
        <w:tabs>
          <w:tab w:val="num" w:pos="-360"/>
        </w:tabs>
        <w:ind w:left="2880" w:hanging="360"/>
      </w:pPr>
    </w:lvl>
    <w:lvl w:ilvl="8">
      <w:start w:val="1"/>
      <w:numFmt w:val="decimal"/>
      <w:lvlText w:val="%9."/>
      <w:lvlJc w:val="left"/>
      <w:pPr>
        <w:tabs>
          <w:tab w:val="num" w:pos="-360"/>
        </w:tabs>
        <w:ind w:left="3240" w:hanging="360"/>
      </w:pPr>
    </w:lvl>
  </w:abstractNum>
  <w:abstractNum w:abstractNumId="24"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16cid:durableId="570309296">
    <w:abstractNumId w:val="15"/>
  </w:num>
  <w:num w:numId="2" w16cid:durableId="1788040107">
    <w:abstractNumId w:val="17"/>
  </w:num>
  <w:num w:numId="3" w16cid:durableId="169101357">
    <w:abstractNumId w:val="7"/>
  </w:num>
  <w:num w:numId="4" w16cid:durableId="356006904">
    <w:abstractNumId w:val="3"/>
  </w:num>
  <w:num w:numId="5" w16cid:durableId="381448479">
    <w:abstractNumId w:val="2"/>
  </w:num>
  <w:num w:numId="6" w16cid:durableId="2000846059">
    <w:abstractNumId w:val="1"/>
  </w:num>
  <w:num w:numId="7" w16cid:durableId="328024652">
    <w:abstractNumId w:val="0"/>
  </w:num>
  <w:num w:numId="8" w16cid:durableId="1684354552">
    <w:abstractNumId w:val="23"/>
  </w:num>
  <w:num w:numId="9" w16cid:durableId="1708531731">
    <w:abstractNumId w:val="18"/>
    <w:lvlOverride w:ilvl="0">
      <w:startOverride w:val="1"/>
    </w:lvlOverride>
  </w:num>
  <w:num w:numId="10" w16cid:durableId="6682159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5535026">
    <w:abstractNumId w:val="4"/>
  </w:num>
  <w:num w:numId="12" w16cid:durableId="537276004">
    <w:abstractNumId w:val="10"/>
  </w:num>
  <w:num w:numId="13" w16cid:durableId="133059957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317795">
    <w:abstractNumId w:val="20"/>
  </w:num>
  <w:num w:numId="15" w16cid:durableId="1208833071">
    <w:abstractNumId w:val="11"/>
  </w:num>
  <w:num w:numId="16" w16cid:durableId="1121998138">
    <w:abstractNumId w:val="22"/>
  </w:num>
  <w:num w:numId="17" w16cid:durableId="134565024">
    <w:abstractNumId w:val="9"/>
  </w:num>
  <w:num w:numId="18" w16cid:durableId="8607281">
    <w:abstractNumId w:val="12"/>
  </w:num>
  <w:num w:numId="19" w16cid:durableId="1285848802">
    <w:abstractNumId w:val="13"/>
  </w:num>
  <w:num w:numId="20" w16cid:durableId="596522080">
    <w:abstractNumId w:val="6"/>
  </w:num>
  <w:num w:numId="21" w16cid:durableId="1142580044">
    <w:abstractNumId w:val="21"/>
  </w:num>
  <w:num w:numId="22" w16cid:durableId="850217328">
    <w:abstractNumId w:val="5"/>
  </w:num>
  <w:num w:numId="23" w16cid:durableId="390346323">
    <w:abstractNumId w:val="14"/>
  </w:num>
  <w:num w:numId="24" w16cid:durableId="143862411">
    <w:abstractNumId w:val="18"/>
  </w:num>
  <w:num w:numId="25" w16cid:durableId="732002052">
    <w:abstractNumId w:val="19"/>
  </w:num>
  <w:num w:numId="26" w16cid:durableId="917636567">
    <w:abstractNumId w:val="8"/>
  </w:num>
  <w:num w:numId="27" w16cid:durableId="1619294115">
    <w:abstractNumId w:val="16"/>
  </w:num>
  <w:num w:numId="28" w16cid:durableId="724716305">
    <w:abstractNumId w:val="24"/>
  </w:num>
  <w:num w:numId="29" w16cid:durableId="1795907873">
    <w:abstractNumId w:val="20"/>
  </w:num>
  <w:num w:numId="30" w16cid:durableId="1604996057">
    <w:abstractNumId w:val="11"/>
  </w:num>
  <w:num w:numId="31" w16cid:durableId="20017407">
    <w:abstractNumId w:val="22"/>
  </w:num>
  <w:num w:numId="32" w16cid:durableId="792332746">
    <w:abstractNumId w:val="9"/>
  </w:num>
  <w:num w:numId="33" w16cid:durableId="1347320128">
    <w:abstractNumId w:val="12"/>
  </w:num>
  <w:num w:numId="34" w16cid:durableId="586886255">
    <w:abstractNumId w:val="13"/>
  </w:num>
  <w:num w:numId="35" w16cid:durableId="86073946">
    <w:abstractNumId w:val="6"/>
  </w:num>
  <w:num w:numId="36" w16cid:durableId="1556618213">
    <w:abstractNumId w:val="21"/>
  </w:num>
  <w:num w:numId="37" w16cid:durableId="511339724">
    <w:abstractNumId w:val="5"/>
  </w:num>
  <w:num w:numId="38" w16cid:durableId="1095204775">
    <w:abstractNumId w:val="14"/>
  </w:num>
  <w:num w:numId="39" w16cid:durableId="60032283">
    <w:abstractNumId w:val="18"/>
  </w:num>
  <w:num w:numId="40" w16cid:durableId="1867793852">
    <w:abstractNumId w:val="19"/>
  </w:num>
  <w:num w:numId="41" w16cid:durableId="316736370">
    <w:abstractNumId w:val="8"/>
  </w:num>
  <w:num w:numId="42" w16cid:durableId="2025399256">
    <w:abstractNumId w:val="16"/>
  </w:num>
  <w:num w:numId="43" w16cid:durableId="262223721">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attachedTemplate r:id="rId1"/>
  <w:defaultTabStop w:val="720"/>
  <w:hyphenationZone w:val="425"/>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uncil" w:val="true"/>
    <w:docVar w:name="CoverPageOnWordDoc" w:val="false"/>
    <w:docVar w:name="CR_RefLast" w:val="0"/>
    <w:docVar w:name="DocuWriteMetaData" w:val="&lt;metadataset docuwriteversion=&quot;4.8.5&quot; technicalblockguid=&quot;5275846048450637892&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64&quot; text=&quot;COVER NOTE&quot; /&gt;_x000d__x000a_    &lt;/basicdatatype&gt;_x000d__x000a_  &lt;/metadata&gt;_x000d__x000a_  &lt;metadata key=&quot;md_HeadingText&quot;&gt;_x000d__x000a_    &lt;headingtext text=&quot;COVER NOTE&quot;&gt;_x000d__x000a_      &lt;formattedtext&gt;_x000d__x000a_        &lt;xaml text=&quot;COVER NOTE&quot;&gt;&amp;lt;FlowDocument xmlns=&quot;http://schemas.microsoft.com/winfx/2006/xaml/presentation&quot;&amp;gt;&amp;lt;Paragraph&amp;gt;COVER NOTE&amp;lt;/Paragraph&amp;gt;&amp;lt;/FlowDocument&amp;gt;&lt;/xaml&gt;_x000d__x000a_      &lt;/formattedtext&gt;_x000d__x000a_    &lt;/headingtext&gt;_x000d__x000a_  &lt;/metadata&gt;_x000d__x000a_  &lt;metadata key=&quot;md_CustomFootnote&quot; /&gt;_x000d__x000a_  &lt;metadata key=&quot;md_DocumentGroup&quot;&gt;_x000d__x000a_    &lt;basicdatatype&gt;_x000d__x000a_      &lt;document_group key=&quot;dg_12&quot; text=&quot;Cover Pag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GName&quot;&gt;_x000d__x000a_    &lt;basicdatatype&gt;_x000d__x000a_      &lt;dgname key=&quot;&quot; /&gt;_x000d__x000a_    &lt;/basicdatatype&gt;_x000d__x000a_  &lt;/metadata&gt;_x000d__x000a_  &lt;metadata key=&quot;md_ContributingService&quot;&gt;_x000d__x000a_    &lt;text&gt;&lt;/text&gt;_x000d__x000a_  &lt;/metadata&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24-04-03&lt;/text&gt;_x000d__x000a_  &lt;/metadata&gt;_x000d__x000a_  &lt;metadata key=&quot;md_Prefix&quot;&gt;_x000d__x000a_    &lt;text&gt;&lt;/text&gt;_x000d__x000a_  &lt;/metadata&gt;_x000d__x000a_  &lt;metadata key=&quot;md_DocumentNumber&quot;&gt;_x000d__x000a_    &lt;text&gt;8517&lt;/text&gt;_x000d__x000a_  &lt;/metadata&gt;_x000d__x000a_  &lt;metadata key=&quot;md_YearDocumentNumber&quot;&gt;_x000d__x000a_    &lt;text&gt;2024&lt;/text&gt;_x000d__x000a_  &lt;/metadata&gt;_x000d__x000a_  &lt;metadata key=&quot;md_Suffixes&quot;&gt;_x000d__x000a_    &lt;text&gt;ADD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EDUC 114&lt;/text&gt;_x000d__x000a_      &lt;text&gt;SOC 253&lt;/text&gt;_x000d__x000a_      &lt;text&gt;JEUN 75&lt;/text&gt;_x000d__x000a_      &lt;text&gt;DIGIT 102&lt;/text&gt;_x000d__x000a_      &lt;text&gt;ENV 388&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gt;_x000d__x000a_    &lt;textlist&gt;_x000d__x000a_      &lt;text&gt;2024/0079(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33&quot; text=&quot;Secretary-General of the European Commission, signed by Ms Martine DEPREZ, Director&quot; /&gt;_x000d__x000a_    &lt;/basicdatatype&gt;_x000d__x000a_  &lt;/metadata&gt;_x000d__x000a_  &lt;metadata key=&quot;md_Recipient&quot;&gt;_x000d__x000a_    &lt;basicdatatype&gt;_x000d__x000a_      &lt;recipient key=&quot;re_47&quot; text=&quot;Ms Thérèse BLANCHET, Secretary-General of the Council of the European Union&quot; /&gt;_x000d__x000a_    &lt;/basicdatatype&gt;_x000d__x000a_  &lt;/metadata&gt;_x000d__x000a_  &lt;metadata key=&quot;md_DateOfReceipt&quot;&gt;_x000d__x000a_    &lt;text&gt;2024-03-27&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gt;_x000d__x000a_      &lt;text&gt;COM(2024) 147 final&lt;/text&gt;_x000d__x000a_    &lt;/textlist&gt;_x000d__x000a_  &lt;/metadata&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 /&gt;_x000d__x000a_  &lt;metadata key=&quot;md_Item&quot; /&gt;_x000d__x000a_  &lt;metadata key=&quot;md_SubjectPrefix&quot;&gt;_x000d__x000a_    &lt;text&gt;&lt;/text&gt;_x000d__x000a_  &lt;/metadata&gt;_x000d__x000a_  &lt;metadata key=&quot;md_Subject&quot;&gt;_x000d__x000a_    &lt;xaml text=&quot;ANNEXES to the Proposal for a Council Recommendation on a European Quality Assurance and Recognition System in Higher Education&quot;&gt;&amp;lt;FlowDocument FontFamily=&quot;Segoe UI&quot; FontSize=&quot;12&quot; PagePadding=&quot;2,2,2,2&quot; AllowDrop=&quot;False&quot; xmlns=&quot;http://schemas.microsoft.com/winfx/2006/xaml/presentation&quot;&amp;gt;&amp;lt;Paragraph&amp;gt;ANNEXES to the Proposal for a Council Recommendation on a European Quality Assurance and Recognition System in Higher Education&amp;lt;/Paragraph&amp;gt;&amp;lt;/FlowDocument&amp;gt;&lt;/xaml&gt;_x000d__x000a_  &lt;/metadata&gt;_x000d__x000a_  &lt;metadata key=&quot;md_SubjectFootnote&quot; /&gt;_x000d__x000a_  &lt;metadata key=&quot;md_DG&quot;&gt;_x000d__x000a_    &lt;text&gt;TREE.1.B&lt;/text&gt;_x000d__x000a_  &lt;/metadata&gt;_x000d__x000a_  &lt;metadata key=&quot;md_Initials&quot;&gt;_x000d__x000a_    &lt;text&gt;CC/fco&lt;/text&gt;_x000d__x000a_  &lt;/metadata&gt;_x000d__x000a_  &lt;metadata key=&quot;md_SensitivityLabel&quot;&gt;_x000d__x000a_    &lt;basicdatatype&gt;_x000d__x000a_      &lt;sensitivity_label key=&quot;senslabel_02&quot; text=&quot;NON-PUBLIC&quot; labelid=&quot;b1df41d6-74a9-4a97-809c-213cd32520cc&quot; siteid=&quot;03ad1c97-0a4d-4e82-8f93-27291a6a0767&quot; isdefault=&quot;true&quot; /&gt;_x000d__x000a_    &lt;/basicdatatype&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24&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2024&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EN&lt;/text&gt;_x000d__x000a_  &lt;/metadata&gt;_x000d__x000a_  &lt;metadata key=&quot;md_SourceDocType&quot;&gt;_x000d__x000a_    &lt;text&gt;ANNEXES&lt;/text&gt;_x000d__x000a_  &lt;/metadata&gt;_x000d__x000a_  &lt;metadata key=&quot;md_SourceDocTitle&quot;&gt;_x000d__x000a_    &lt;text&gt;to the _x000d__x000a_Proposal for a Council Recommendation _x000d__x000a_on a European Quality Assurance and Recognition System in Higher Education&lt;/text&gt;_x000d__x000a_  &lt;/metadata&gt;_x000d__x000a_  &lt;metadata key=&quot;md_SourceDocIsCECDoc&quot;&gt;_x000d__x000a_    &lt;text&gt;true&lt;/text&gt;_x000d__x000a_  &lt;/metadata&gt;_x000d__x000a_  &lt;metadata key=&quot;md_NB1&quot; /&gt;_x000d__x000a_  &lt;metadata key=&quot;md_NB2&quot; /&gt;_x000d__x000a_  &lt;metadata key=&quot;md_NB3&quot; /&gt;_x000d__x000a_  &lt;metadata key=&quot;md_NB4&quot; /&gt;_x000d__x000a_  &lt;metadata key=&quot;md_NB5&quot; /&gt;_x000d__x000a_  &lt;metadata key=&quot;md_CustomNB&quot; /&gt;_x000d__x000a_  &lt;metadata key=&quot;md_Meetings&quot;&gt;_x000d__x000a_    &lt;meetings /&gt;_x000d__x000a_  &lt;/metadata&gt;_x000d__x000a_  &lt;metadata key=&quot;md_VisualRepresentation&quot;&gt;_x000d__x000a_    &lt;basicdatatype&gt;_x000d__x000a_      &lt;originator key=&quot;visrep_02&quot; /&gt;_x000d__x000a_    &lt;/basicdatatype&gt;_x000d__x000a_  &lt;/metadata&gt;_x000d__x000a_  &lt;metadata key=&quot;md_LetterData&quot; /&gt;_x000d__x000a_  &lt;metadata key=&quot;md_InstFrSubWordmark&quot;&gt;_x000d__x000a_    &lt;xaml text=&quot;&quot;&gt;&amp;lt;FlowDocument FontFamily=&quot;Segoe UI&quot; FontSize=&quot;12&quot; PagePadding=&quot;2,2,2,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eAgendaLinkStatus&quot; /&gt;_x000d__x000a_  &lt;metadata key=&quot;md_Caveat&quot;&gt;_x000d__x000a_    &lt;text&gt;&lt;/text&gt;_x000d__x000a_  &lt;/metadata&gt;_x000d__x000a_  &lt;metadata key=&quot;md_TechnicalKey&quot; /&gt;_x000d__x000a_&lt;/metadataset&gt;"/>
    <w:docVar w:name="DQCDateTime" w:val="2024-03-22 19:21:23"/>
    <w:docVar w:name="DQCResult_Distribution" w:val="0;0"/>
    <w:docVar w:name="DQCResult_DocumentContent" w:val="0;0"/>
    <w:docVar w:name="DQCResult_DocumentSize" w:val="0;0"/>
    <w:docVar w:name="DQCResult_InvalidFootnotes" w:val="0;0"/>
    <w:docVar w:name="DQCResult_ModifiedMarkers" w:val="0;0"/>
    <w:docVar w:name="DQCResult_ModifiedNumbering" w:val="0;0"/>
    <w:docVar w:name="DQCResult_Objects" w:val="0;0"/>
    <w:docVar w:name="DQCResult_StructureCheck" w:val="0;0"/>
    <w:docVar w:name="DQCStatus" w:val="Yellow"/>
    <w:docVar w:name="DQCVersion" w:val="3"/>
    <w:docVar w:name="DQCWithWarnings" w:val="0"/>
    <w:docVar w:name="DW_KeepCompatibilityMode" w:val="true"/>
    <w:docVar w:name="LW_ACCOMPAGNANT" w:val="to the"/>
    <w:docVar w:name="LW_ACCOMPAGNANT.CP" w:val="to the"/>
    <w:docVar w:name="LW_ANNEX_NBR_FIRST" w:val="1"/>
    <w:docVar w:name="LW_ANNEX_NBR_LAST" w:val="3"/>
    <w:docVar w:name="LW_ANNEX_UNIQUE" w:val="0"/>
    <w:docVar w:name="LW_CORRIGENDUM" w:val="&lt;UNUSED&gt;"/>
    <w:docVar w:name="LW_COVERPAGE_EXISTS" w:val="True"/>
    <w:docVar w:name="LW_COVERPAGE_GUID" w:val="4CF9B4CF-DBA2-436F-9041-22E64ED678CE"/>
    <w:docVar w:name="LW_COVERPAGE_TYPE" w:val="1"/>
    <w:docVar w:name="LW_CROSSREFERENCE" w:val="{SWD(2024) 74 final}"/>
    <w:docVar w:name="LW_DocType" w:val="ANNEX"/>
    <w:docVar w:name="LW_EMISSION" w:val="27.3.2024"/>
    <w:docVar w:name="LW_EMISSION_ISODATE" w:val="2024-03-27"/>
    <w:docVar w:name="LW_EMISSION_LOCATION" w:val="BRX"/>
    <w:docVar w:name="LW_EMISSION_PREFIX" w:val="Brussels, "/>
    <w:docVar w:name="LW_EMISSION_SUFFIX" w:val=" "/>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a European Quality Assurance and Recognition System in Higher Education"/>
    <w:docVar w:name="LW_OBJETACTEPRINCIPAL.CP" w:val="on a European Quality Assurance and Recognition System in Higher Education"/>
    <w:docVar w:name="LW_PART_NBR" w:val="&lt;UNUSED&gt;"/>
    <w:docVar w:name="LW_PART_NBR_TOTAL" w:val="&lt;UNUSED&gt;"/>
    <w:docVar w:name="LW_REF.INST.NEW" w:val="COM"/>
    <w:docVar w:name="LW_REF.INST.NEW_ADOPTED" w:val="final"/>
    <w:docVar w:name="LW_REF.INST.NEW_TEXT" w:val="(2024) 14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S"/>
    <w:docVar w:name="LW_TYPE.DOC.CP" w:val="ANNEXES"/>
    <w:docVar w:name="LW_TYPEACTEPRINCIPAL" w:val="Proposal for a Council Recommendation"/>
    <w:docVar w:name="LW_TYPEACTEPRINCIPAL.CP" w:val="Proposal for a Council Recommendation"/>
    <w:docVar w:name="LwApiVersions" w:val="LW4CoDe 1.24.5.0; LW 9.0, Build 20240221"/>
  </w:docVars>
  <w:rsids>
    <w:rsidRoot w:val="00A727D0"/>
    <w:rsid w:val="0001696A"/>
    <w:rsid w:val="0002385C"/>
    <w:rsid w:val="00027A99"/>
    <w:rsid w:val="0009486B"/>
    <w:rsid w:val="000A03C3"/>
    <w:rsid w:val="000A32CE"/>
    <w:rsid w:val="000A7AF4"/>
    <w:rsid w:val="000D1064"/>
    <w:rsid w:val="000D4C38"/>
    <w:rsid w:val="000E0FB5"/>
    <w:rsid w:val="000E4BA6"/>
    <w:rsid w:val="000E59D5"/>
    <w:rsid w:val="00100E59"/>
    <w:rsid w:val="0013154B"/>
    <w:rsid w:val="001358FB"/>
    <w:rsid w:val="00143EC9"/>
    <w:rsid w:val="00145B2E"/>
    <w:rsid w:val="00152BC4"/>
    <w:rsid w:val="0015457D"/>
    <w:rsid w:val="00165C4F"/>
    <w:rsid w:val="001728D2"/>
    <w:rsid w:val="001800BD"/>
    <w:rsid w:val="001827B1"/>
    <w:rsid w:val="00196A4B"/>
    <w:rsid w:val="001D0895"/>
    <w:rsid w:val="001D0EBC"/>
    <w:rsid w:val="001E72D0"/>
    <w:rsid w:val="001F343E"/>
    <w:rsid w:val="00201491"/>
    <w:rsid w:val="00207592"/>
    <w:rsid w:val="00225006"/>
    <w:rsid w:val="00230B72"/>
    <w:rsid w:val="002451A8"/>
    <w:rsid w:val="00245F8B"/>
    <w:rsid w:val="00254369"/>
    <w:rsid w:val="0026395A"/>
    <w:rsid w:val="00264291"/>
    <w:rsid w:val="002741E8"/>
    <w:rsid w:val="0028337C"/>
    <w:rsid w:val="00296BE6"/>
    <w:rsid w:val="00296C12"/>
    <w:rsid w:val="002A035B"/>
    <w:rsid w:val="002A18E9"/>
    <w:rsid w:val="002A7AF0"/>
    <w:rsid w:val="002D6F76"/>
    <w:rsid w:val="002E5FE0"/>
    <w:rsid w:val="002E76D8"/>
    <w:rsid w:val="00313C63"/>
    <w:rsid w:val="003362FE"/>
    <w:rsid w:val="0033668E"/>
    <w:rsid w:val="00344DA5"/>
    <w:rsid w:val="003645CE"/>
    <w:rsid w:val="00385CE9"/>
    <w:rsid w:val="003915F1"/>
    <w:rsid w:val="003A05E3"/>
    <w:rsid w:val="003D113E"/>
    <w:rsid w:val="003E35A5"/>
    <w:rsid w:val="003E37F9"/>
    <w:rsid w:val="003E5FEE"/>
    <w:rsid w:val="003F626B"/>
    <w:rsid w:val="004260AA"/>
    <w:rsid w:val="00442C53"/>
    <w:rsid w:val="00461F43"/>
    <w:rsid w:val="00465574"/>
    <w:rsid w:val="00470A54"/>
    <w:rsid w:val="00492EB7"/>
    <w:rsid w:val="004941E6"/>
    <w:rsid w:val="00494D8D"/>
    <w:rsid w:val="004A5E71"/>
    <w:rsid w:val="004F4A1C"/>
    <w:rsid w:val="005109F0"/>
    <w:rsid w:val="00512149"/>
    <w:rsid w:val="00532952"/>
    <w:rsid w:val="005725BC"/>
    <w:rsid w:val="00573AD5"/>
    <w:rsid w:val="00591661"/>
    <w:rsid w:val="00593A59"/>
    <w:rsid w:val="005A0466"/>
    <w:rsid w:val="005B44A8"/>
    <w:rsid w:val="005C0CC4"/>
    <w:rsid w:val="005C54A7"/>
    <w:rsid w:val="005C75C7"/>
    <w:rsid w:val="00600E6E"/>
    <w:rsid w:val="0061704E"/>
    <w:rsid w:val="00626E37"/>
    <w:rsid w:val="00627105"/>
    <w:rsid w:val="00647A50"/>
    <w:rsid w:val="0065646D"/>
    <w:rsid w:val="00695ADA"/>
    <w:rsid w:val="006A6BCB"/>
    <w:rsid w:val="006B77EA"/>
    <w:rsid w:val="006D3925"/>
    <w:rsid w:val="006D7D4F"/>
    <w:rsid w:val="006E785F"/>
    <w:rsid w:val="006F79E0"/>
    <w:rsid w:val="00713072"/>
    <w:rsid w:val="00716650"/>
    <w:rsid w:val="00716B4B"/>
    <w:rsid w:val="0072690A"/>
    <w:rsid w:val="00730321"/>
    <w:rsid w:val="007514B0"/>
    <w:rsid w:val="00757467"/>
    <w:rsid w:val="00762464"/>
    <w:rsid w:val="007641B9"/>
    <w:rsid w:val="0079758A"/>
    <w:rsid w:val="007A24A3"/>
    <w:rsid w:val="007A6992"/>
    <w:rsid w:val="007B0511"/>
    <w:rsid w:val="007C258E"/>
    <w:rsid w:val="007C6EF9"/>
    <w:rsid w:val="007C7280"/>
    <w:rsid w:val="007D585F"/>
    <w:rsid w:val="007D70F2"/>
    <w:rsid w:val="007F14E4"/>
    <w:rsid w:val="00801E3A"/>
    <w:rsid w:val="00811263"/>
    <w:rsid w:val="00815CC5"/>
    <w:rsid w:val="00822E5A"/>
    <w:rsid w:val="008357F5"/>
    <w:rsid w:val="00844949"/>
    <w:rsid w:val="008A58C8"/>
    <w:rsid w:val="008B7EB3"/>
    <w:rsid w:val="008C1DC3"/>
    <w:rsid w:val="008D6398"/>
    <w:rsid w:val="008F6D71"/>
    <w:rsid w:val="009027CF"/>
    <w:rsid w:val="0090465D"/>
    <w:rsid w:val="00905D22"/>
    <w:rsid w:val="009229AC"/>
    <w:rsid w:val="00923C0E"/>
    <w:rsid w:val="009362AF"/>
    <w:rsid w:val="0097562D"/>
    <w:rsid w:val="009A1A2B"/>
    <w:rsid w:val="009A48DD"/>
    <w:rsid w:val="009C60A4"/>
    <w:rsid w:val="009C7EB3"/>
    <w:rsid w:val="009E1163"/>
    <w:rsid w:val="009F548D"/>
    <w:rsid w:val="00A11DF9"/>
    <w:rsid w:val="00A1572C"/>
    <w:rsid w:val="00A15BA6"/>
    <w:rsid w:val="00A24D4C"/>
    <w:rsid w:val="00A40665"/>
    <w:rsid w:val="00A44C8E"/>
    <w:rsid w:val="00A46182"/>
    <w:rsid w:val="00A52D5B"/>
    <w:rsid w:val="00A616B8"/>
    <w:rsid w:val="00A6243B"/>
    <w:rsid w:val="00A63864"/>
    <w:rsid w:val="00A71F6D"/>
    <w:rsid w:val="00A727D0"/>
    <w:rsid w:val="00AC71CC"/>
    <w:rsid w:val="00B15DAD"/>
    <w:rsid w:val="00B210C8"/>
    <w:rsid w:val="00B5116F"/>
    <w:rsid w:val="00B67870"/>
    <w:rsid w:val="00B7528D"/>
    <w:rsid w:val="00BA4F3C"/>
    <w:rsid w:val="00BB30BC"/>
    <w:rsid w:val="00BE11BB"/>
    <w:rsid w:val="00BF6B0B"/>
    <w:rsid w:val="00C10239"/>
    <w:rsid w:val="00C26146"/>
    <w:rsid w:val="00C425F3"/>
    <w:rsid w:val="00C44205"/>
    <w:rsid w:val="00C55509"/>
    <w:rsid w:val="00C8289F"/>
    <w:rsid w:val="00C8758B"/>
    <w:rsid w:val="00C953CA"/>
    <w:rsid w:val="00CB1C88"/>
    <w:rsid w:val="00CB3851"/>
    <w:rsid w:val="00CB4D1D"/>
    <w:rsid w:val="00CD5313"/>
    <w:rsid w:val="00CD704C"/>
    <w:rsid w:val="00CF18CB"/>
    <w:rsid w:val="00CF29D4"/>
    <w:rsid w:val="00CF676A"/>
    <w:rsid w:val="00D215CB"/>
    <w:rsid w:val="00D26F2A"/>
    <w:rsid w:val="00D328C4"/>
    <w:rsid w:val="00D33986"/>
    <w:rsid w:val="00D44E98"/>
    <w:rsid w:val="00D66F2B"/>
    <w:rsid w:val="00D7459F"/>
    <w:rsid w:val="00D77AFF"/>
    <w:rsid w:val="00DB00F5"/>
    <w:rsid w:val="00DC31A0"/>
    <w:rsid w:val="00DC7D5F"/>
    <w:rsid w:val="00DF58BE"/>
    <w:rsid w:val="00DF5D62"/>
    <w:rsid w:val="00E1113E"/>
    <w:rsid w:val="00E174A7"/>
    <w:rsid w:val="00E27B3A"/>
    <w:rsid w:val="00E31BC1"/>
    <w:rsid w:val="00E3734F"/>
    <w:rsid w:val="00E41794"/>
    <w:rsid w:val="00E425EB"/>
    <w:rsid w:val="00E46BF5"/>
    <w:rsid w:val="00E727A0"/>
    <w:rsid w:val="00E75BF9"/>
    <w:rsid w:val="00E879DD"/>
    <w:rsid w:val="00EC09D1"/>
    <w:rsid w:val="00EE73F4"/>
    <w:rsid w:val="00EF0531"/>
    <w:rsid w:val="00F243ED"/>
    <w:rsid w:val="00F602A4"/>
    <w:rsid w:val="00F61A04"/>
    <w:rsid w:val="00F67F64"/>
    <w:rsid w:val="00F7024E"/>
    <w:rsid w:val="00F70FFB"/>
    <w:rsid w:val="00F72C9C"/>
    <w:rsid w:val="00F74E50"/>
    <w:rsid w:val="00F82260"/>
    <w:rsid w:val="00F90A21"/>
    <w:rsid w:val="00FA2ACA"/>
    <w:rsid w:val="00FB374E"/>
    <w:rsid w:val="00FB6287"/>
    <w:rsid w:val="00FC26C4"/>
    <w:rsid w:val="00FC3642"/>
    <w:rsid w:val="00FD1C1C"/>
    <w:rsid w:val="00FD3208"/>
    <w:rsid w:val="00FD7DBA"/>
    <w:rsid w:val="012D56CC"/>
    <w:rsid w:val="020DF2DF"/>
    <w:rsid w:val="02A88CA4"/>
    <w:rsid w:val="030DE2F0"/>
    <w:rsid w:val="0368D7F4"/>
    <w:rsid w:val="03F4108C"/>
    <w:rsid w:val="050D61E8"/>
    <w:rsid w:val="05430D6F"/>
    <w:rsid w:val="05F42212"/>
    <w:rsid w:val="0639B3C8"/>
    <w:rsid w:val="06BE09F3"/>
    <w:rsid w:val="07D72EEA"/>
    <w:rsid w:val="0971548A"/>
    <w:rsid w:val="09977EE3"/>
    <w:rsid w:val="09AC56A7"/>
    <w:rsid w:val="09CF95FA"/>
    <w:rsid w:val="0A298AFA"/>
    <w:rsid w:val="0A400686"/>
    <w:rsid w:val="0CE29B7D"/>
    <w:rsid w:val="0F1377A9"/>
    <w:rsid w:val="0F513EAE"/>
    <w:rsid w:val="104006F5"/>
    <w:rsid w:val="10AF480A"/>
    <w:rsid w:val="1362B7ED"/>
    <w:rsid w:val="13CB5019"/>
    <w:rsid w:val="15E8B281"/>
    <w:rsid w:val="168633E5"/>
    <w:rsid w:val="16B76560"/>
    <w:rsid w:val="17267714"/>
    <w:rsid w:val="178AE0E0"/>
    <w:rsid w:val="1794DB66"/>
    <w:rsid w:val="180BAFE8"/>
    <w:rsid w:val="182A623D"/>
    <w:rsid w:val="1861E46A"/>
    <w:rsid w:val="187E2390"/>
    <w:rsid w:val="1930ABC7"/>
    <w:rsid w:val="196A54E3"/>
    <w:rsid w:val="196EDBD1"/>
    <w:rsid w:val="198F65DA"/>
    <w:rsid w:val="19C35502"/>
    <w:rsid w:val="1A5E17D6"/>
    <w:rsid w:val="1B418266"/>
    <w:rsid w:val="1BF9E837"/>
    <w:rsid w:val="1CBB2D31"/>
    <w:rsid w:val="1CE379E5"/>
    <w:rsid w:val="1D95B898"/>
    <w:rsid w:val="1E90F8A1"/>
    <w:rsid w:val="1F0F5F42"/>
    <w:rsid w:val="20196DEA"/>
    <w:rsid w:val="21BD2746"/>
    <w:rsid w:val="2205D860"/>
    <w:rsid w:val="222AE0DE"/>
    <w:rsid w:val="222F43BE"/>
    <w:rsid w:val="22AE49A7"/>
    <w:rsid w:val="2413B7E5"/>
    <w:rsid w:val="2604F7A8"/>
    <w:rsid w:val="26B8889D"/>
    <w:rsid w:val="276B975A"/>
    <w:rsid w:val="27FF6ED8"/>
    <w:rsid w:val="2820DE10"/>
    <w:rsid w:val="2823BDAA"/>
    <w:rsid w:val="28A8468F"/>
    <w:rsid w:val="28D86B3F"/>
    <w:rsid w:val="2A761F50"/>
    <w:rsid w:val="2ABCBD6A"/>
    <w:rsid w:val="2C5DF72D"/>
    <w:rsid w:val="2DF9C78E"/>
    <w:rsid w:val="2E6AD9F5"/>
    <w:rsid w:val="2E8FD00B"/>
    <w:rsid w:val="30578633"/>
    <w:rsid w:val="30C942E3"/>
    <w:rsid w:val="312460AF"/>
    <w:rsid w:val="31D6CC5D"/>
    <w:rsid w:val="33A218E0"/>
    <w:rsid w:val="35ABC0FF"/>
    <w:rsid w:val="373271C0"/>
    <w:rsid w:val="38D2459C"/>
    <w:rsid w:val="38F0CF48"/>
    <w:rsid w:val="3A378DF1"/>
    <w:rsid w:val="3A4F636F"/>
    <w:rsid w:val="3AD32A2F"/>
    <w:rsid w:val="3C9B7023"/>
    <w:rsid w:val="3D390573"/>
    <w:rsid w:val="3DAFF266"/>
    <w:rsid w:val="3E420846"/>
    <w:rsid w:val="3E45CFF8"/>
    <w:rsid w:val="400DBD69"/>
    <w:rsid w:val="408439CE"/>
    <w:rsid w:val="4086564F"/>
    <w:rsid w:val="40B22CF1"/>
    <w:rsid w:val="414D71D5"/>
    <w:rsid w:val="419A9268"/>
    <w:rsid w:val="41E880E3"/>
    <w:rsid w:val="428E2823"/>
    <w:rsid w:val="431E5ADF"/>
    <w:rsid w:val="43547332"/>
    <w:rsid w:val="44D2332A"/>
    <w:rsid w:val="44E75590"/>
    <w:rsid w:val="45CCDB92"/>
    <w:rsid w:val="49C574E4"/>
    <w:rsid w:val="4A2D3895"/>
    <w:rsid w:val="4D4BB0FA"/>
    <w:rsid w:val="4DA51581"/>
    <w:rsid w:val="4DE11833"/>
    <w:rsid w:val="4E28DC41"/>
    <w:rsid w:val="4E5FED13"/>
    <w:rsid w:val="4F7CE894"/>
    <w:rsid w:val="50E71855"/>
    <w:rsid w:val="50F2ED78"/>
    <w:rsid w:val="51607D03"/>
    <w:rsid w:val="51D92477"/>
    <w:rsid w:val="521212A3"/>
    <w:rsid w:val="531EFDF3"/>
    <w:rsid w:val="5448A28F"/>
    <w:rsid w:val="55B20496"/>
    <w:rsid w:val="55FBEA7E"/>
    <w:rsid w:val="575B9A6A"/>
    <w:rsid w:val="5776303A"/>
    <w:rsid w:val="585E0D1B"/>
    <w:rsid w:val="588D85E7"/>
    <w:rsid w:val="5994339B"/>
    <w:rsid w:val="59A29FBA"/>
    <w:rsid w:val="59D46BD4"/>
    <w:rsid w:val="5BC7E0B6"/>
    <w:rsid w:val="5BCA0F00"/>
    <w:rsid w:val="5C0D1BC9"/>
    <w:rsid w:val="5C25071E"/>
    <w:rsid w:val="5C4A5BD8"/>
    <w:rsid w:val="5CE22E02"/>
    <w:rsid w:val="5CFD2016"/>
    <w:rsid w:val="5D4BFBCE"/>
    <w:rsid w:val="5E3436D2"/>
    <w:rsid w:val="5FE27DC0"/>
    <w:rsid w:val="618D3879"/>
    <w:rsid w:val="628F5074"/>
    <w:rsid w:val="62E44DE6"/>
    <w:rsid w:val="635AF3F2"/>
    <w:rsid w:val="64C4D93B"/>
    <w:rsid w:val="66107C8B"/>
    <w:rsid w:val="66231FBE"/>
    <w:rsid w:val="66891048"/>
    <w:rsid w:val="6769C078"/>
    <w:rsid w:val="676D63C5"/>
    <w:rsid w:val="685E41DE"/>
    <w:rsid w:val="689F110A"/>
    <w:rsid w:val="68C6B228"/>
    <w:rsid w:val="68DEA6E6"/>
    <w:rsid w:val="694E4291"/>
    <w:rsid w:val="69C0B10A"/>
    <w:rsid w:val="69C36151"/>
    <w:rsid w:val="6BB0DBF3"/>
    <w:rsid w:val="6C5AAECC"/>
    <w:rsid w:val="6CD432AF"/>
    <w:rsid w:val="6DD617DA"/>
    <w:rsid w:val="6F16960E"/>
    <w:rsid w:val="6F1AD8BB"/>
    <w:rsid w:val="6F526EFA"/>
    <w:rsid w:val="6F71E83B"/>
    <w:rsid w:val="7003127C"/>
    <w:rsid w:val="72E006A1"/>
    <w:rsid w:val="73102B51"/>
    <w:rsid w:val="747BD702"/>
    <w:rsid w:val="756C9731"/>
    <w:rsid w:val="7609D7F8"/>
    <w:rsid w:val="76860BB5"/>
    <w:rsid w:val="76E7E41D"/>
    <w:rsid w:val="77D1A2E7"/>
    <w:rsid w:val="780106F7"/>
    <w:rsid w:val="79638D84"/>
    <w:rsid w:val="7CA25183"/>
    <w:rsid w:val="7D588223"/>
    <w:rsid w:val="7D9075EA"/>
    <w:rsid w:val="7E3E21E4"/>
    <w:rsid w:val="7F578AB2"/>
    <w:rsid w:val="7F6BB83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626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before="120" w:after="120" w:line="240" w:lineRule="auto"/>
      <w:jc w:val="both"/>
    </w:pPr>
    <w:rPr>
      <w:rFonts w:ascii="Times New Roman" w:hAnsi="Times New Roman" w:cs="Times New Roman"/>
      <w:sz w:val="24"/>
      <w:lang w:val="en-GB"/>
    </w:rPr>
  </w:style>
  <w:style w:type="paragraph" w:styleId="Pealkiri1">
    <w:name w:val="heading 1"/>
    <w:basedOn w:val="Normaallaad"/>
    <w:next w:val="Text1"/>
    <w:link w:val="Pealkiri1Mrk"/>
    <w:uiPriority w:val="9"/>
    <w:qFormat/>
    <w:pPr>
      <w:keepNext/>
      <w:numPr>
        <w:numId w:val="36"/>
      </w:numPr>
      <w:spacing w:before="360"/>
      <w:outlineLvl w:val="0"/>
    </w:pPr>
    <w:rPr>
      <w:rFonts w:eastAsiaTheme="majorEastAsia"/>
      <w:b/>
      <w:bCs/>
      <w:smallCaps/>
      <w:szCs w:val="28"/>
    </w:rPr>
  </w:style>
  <w:style w:type="paragraph" w:styleId="Pealkiri2">
    <w:name w:val="heading 2"/>
    <w:basedOn w:val="Normaallaad"/>
    <w:next w:val="Text1"/>
    <w:link w:val="Pealkiri2Mrk"/>
    <w:uiPriority w:val="9"/>
    <w:semiHidden/>
    <w:unhideWhenUsed/>
    <w:qFormat/>
    <w:pPr>
      <w:keepNext/>
      <w:numPr>
        <w:ilvl w:val="1"/>
        <w:numId w:val="36"/>
      </w:numPr>
      <w:outlineLvl w:val="1"/>
    </w:pPr>
    <w:rPr>
      <w:rFonts w:eastAsiaTheme="majorEastAsia"/>
      <w:b/>
      <w:bCs/>
      <w:szCs w:val="26"/>
    </w:rPr>
  </w:style>
  <w:style w:type="paragraph" w:styleId="Pealkiri3">
    <w:name w:val="heading 3"/>
    <w:basedOn w:val="Normaallaad"/>
    <w:next w:val="Text1"/>
    <w:link w:val="Pealkiri3Mrk"/>
    <w:uiPriority w:val="9"/>
    <w:semiHidden/>
    <w:unhideWhenUsed/>
    <w:qFormat/>
    <w:pPr>
      <w:keepNext/>
      <w:numPr>
        <w:ilvl w:val="2"/>
        <w:numId w:val="36"/>
      </w:numPr>
      <w:outlineLvl w:val="2"/>
    </w:pPr>
    <w:rPr>
      <w:rFonts w:eastAsiaTheme="majorEastAsia"/>
      <w:bCs/>
      <w:i/>
    </w:rPr>
  </w:style>
  <w:style w:type="paragraph" w:styleId="Pealkiri4">
    <w:name w:val="heading 4"/>
    <w:basedOn w:val="Normaallaad"/>
    <w:next w:val="Text1"/>
    <w:link w:val="Pealkiri4Mrk"/>
    <w:uiPriority w:val="9"/>
    <w:semiHidden/>
    <w:unhideWhenUsed/>
    <w:qFormat/>
    <w:pPr>
      <w:keepNext/>
      <w:numPr>
        <w:ilvl w:val="3"/>
        <w:numId w:val="36"/>
      </w:numPr>
      <w:outlineLvl w:val="3"/>
    </w:pPr>
    <w:rPr>
      <w:rFonts w:eastAsiaTheme="majorEastAsia"/>
      <w:bCs/>
      <w:iCs/>
    </w:rPr>
  </w:style>
  <w:style w:type="paragraph" w:styleId="Pealkiri5">
    <w:name w:val="heading 5"/>
    <w:basedOn w:val="Normaallaad"/>
    <w:next w:val="Text2"/>
    <w:link w:val="Pealkiri5Mrk"/>
    <w:uiPriority w:val="9"/>
    <w:semiHidden/>
    <w:unhideWhenUsed/>
    <w:qFormat/>
    <w:pPr>
      <w:keepNext/>
      <w:numPr>
        <w:ilvl w:val="4"/>
        <w:numId w:val="36"/>
      </w:numPr>
      <w:outlineLvl w:val="4"/>
    </w:pPr>
    <w:rPr>
      <w:rFonts w:eastAsiaTheme="majorEastAsia"/>
    </w:rPr>
  </w:style>
  <w:style w:type="paragraph" w:styleId="Pealkiri6">
    <w:name w:val="heading 6"/>
    <w:basedOn w:val="Normaallaad"/>
    <w:next w:val="Text2"/>
    <w:link w:val="Pealkiri6Mrk"/>
    <w:uiPriority w:val="9"/>
    <w:semiHidden/>
    <w:unhideWhenUsed/>
    <w:qFormat/>
    <w:pPr>
      <w:keepNext/>
      <w:numPr>
        <w:ilvl w:val="5"/>
        <w:numId w:val="36"/>
      </w:numPr>
      <w:outlineLvl w:val="5"/>
    </w:pPr>
    <w:rPr>
      <w:rFonts w:eastAsiaTheme="majorEastAsia"/>
      <w:iCs/>
    </w:rPr>
  </w:style>
  <w:style w:type="paragraph" w:styleId="Pealkiri7">
    <w:name w:val="heading 7"/>
    <w:basedOn w:val="Normaallaad"/>
    <w:next w:val="Text2"/>
    <w:link w:val="Pealkiri7Mrk"/>
    <w:uiPriority w:val="9"/>
    <w:semiHidden/>
    <w:unhideWhenUsed/>
    <w:qFormat/>
    <w:pPr>
      <w:keepNext/>
      <w:numPr>
        <w:ilvl w:val="6"/>
        <w:numId w:val="36"/>
      </w:numPr>
      <w:outlineLvl w:val="6"/>
    </w:pPr>
    <w:rPr>
      <w:rFonts w:eastAsiaTheme="majorEastAsia"/>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Tugev">
    <w:name w:val="Strong"/>
    <w:qFormat/>
    <w:rsid w:val="00A727D0"/>
    <w:rPr>
      <w:b/>
      <w:bCs/>
    </w:rPr>
  </w:style>
  <w:style w:type="paragraph" w:customStyle="1" w:styleId="Textbody">
    <w:name w:val="Text body"/>
    <w:basedOn w:val="Normaallaad"/>
    <w:qFormat/>
    <w:rsid w:val="00A727D0"/>
    <w:pPr>
      <w:suppressAutoHyphens/>
      <w:spacing w:before="0" w:after="140" w:line="276" w:lineRule="auto"/>
      <w:jc w:val="left"/>
      <w:textAlignment w:val="baseline"/>
    </w:pPr>
    <w:rPr>
      <w:rFonts w:ascii="Source Sans Pro" w:eastAsia="Source Sans Pro" w:hAnsi="Source Sans Pro" w:cs="Source Sans Pro"/>
      <w:color w:val="333333"/>
      <w:kern w:val="2"/>
      <w:sz w:val="21"/>
      <w:szCs w:val="24"/>
      <w:lang w:eastAsia="zh-CN" w:bidi="hi-IN"/>
    </w:rPr>
  </w:style>
  <w:style w:type="paragraph" w:styleId="Pealkiri">
    <w:name w:val="Title"/>
    <w:basedOn w:val="Normaallaad"/>
    <w:next w:val="Textbody"/>
    <w:link w:val="PealkiriMrk"/>
    <w:uiPriority w:val="10"/>
    <w:qFormat/>
    <w:rsid w:val="00A727D0"/>
    <w:pPr>
      <w:keepNext/>
      <w:suppressAutoHyphens/>
      <w:spacing w:before="240"/>
      <w:jc w:val="center"/>
      <w:textAlignment w:val="baseline"/>
    </w:pPr>
    <w:rPr>
      <w:rFonts w:ascii="Source Sans Pro" w:eastAsia="Source Sans Pro" w:hAnsi="Source Sans Pro" w:cs="Source Sans Pro"/>
      <w:b/>
      <w:bCs/>
      <w:color w:val="1ABC9C"/>
      <w:kern w:val="2"/>
      <w:sz w:val="56"/>
      <w:szCs w:val="56"/>
      <w:lang w:eastAsia="zh-CN" w:bidi="hi-IN"/>
    </w:rPr>
  </w:style>
  <w:style w:type="character" w:customStyle="1" w:styleId="PealkiriMrk">
    <w:name w:val="Pealkiri Märk"/>
    <w:basedOn w:val="Liguvaikefont"/>
    <w:link w:val="Pealkiri"/>
    <w:uiPriority w:val="10"/>
    <w:rsid w:val="00A727D0"/>
    <w:rPr>
      <w:rFonts w:ascii="Source Sans Pro" w:eastAsia="Source Sans Pro" w:hAnsi="Source Sans Pro" w:cs="Source Sans Pro"/>
      <w:b/>
      <w:bCs/>
      <w:color w:val="1ABC9C"/>
      <w:kern w:val="2"/>
      <w:sz w:val="56"/>
      <w:szCs w:val="56"/>
      <w:lang w:val="en-GB" w:eastAsia="zh-CN" w:bidi="hi-IN"/>
    </w:rPr>
  </w:style>
  <w:style w:type="paragraph" w:styleId="Alapealkiri">
    <w:name w:val="Subtitle"/>
    <w:basedOn w:val="Normaallaad"/>
    <w:next w:val="Textbody"/>
    <w:link w:val="AlapealkiriMrk"/>
    <w:uiPriority w:val="11"/>
    <w:qFormat/>
    <w:rsid w:val="00A727D0"/>
    <w:pPr>
      <w:keepNext/>
      <w:suppressAutoHyphens/>
      <w:spacing w:before="60"/>
      <w:jc w:val="center"/>
      <w:textAlignment w:val="baseline"/>
    </w:pPr>
    <w:rPr>
      <w:rFonts w:ascii="Source Sans Pro" w:eastAsia="Source Sans Pro" w:hAnsi="Source Sans Pro" w:cs="Source Sans Pro"/>
      <w:b/>
      <w:color w:val="2C3E50"/>
      <w:kern w:val="2"/>
      <w:sz w:val="36"/>
      <w:szCs w:val="24"/>
      <w:lang w:eastAsia="zh-CN" w:bidi="hi-IN"/>
    </w:rPr>
  </w:style>
  <w:style w:type="character" w:customStyle="1" w:styleId="AlapealkiriMrk">
    <w:name w:val="Alapealkiri Märk"/>
    <w:basedOn w:val="Liguvaikefont"/>
    <w:link w:val="Alapealkiri"/>
    <w:uiPriority w:val="11"/>
    <w:rsid w:val="00A727D0"/>
    <w:rPr>
      <w:rFonts w:ascii="Source Sans Pro" w:eastAsia="Source Sans Pro" w:hAnsi="Source Sans Pro" w:cs="Source Sans Pro"/>
      <w:b/>
      <w:color w:val="2C3E50"/>
      <w:kern w:val="2"/>
      <w:sz w:val="36"/>
      <w:szCs w:val="24"/>
      <w:lang w:val="en-GB" w:eastAsia="zh-CN" w:bidi="hi-IN"/>
    </w:rPr>
  </w:style>
  <w:style w:type="table" w:styleId="Kontuurtabel">
    <w:name w:val="Table Grid"/>
    <w:basedOn w:val="Normaaltabel"/>
    <w:uiPriority w:val="39"/>
    <w:rsid w:val="00A727D0"/>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tpp">
    <w:name w:val="List Bullet"/>
    <w:basedOn w:val="Normaallaad"/>
    <w:uiPriority w:val="99"/>
    <w:semiHidden/>
    <w:unhideWhenUsed/>
    <w:rsid w:val="00573AD5"/>
    <w:pPr>
      <w:numPr>
        <w:numId w:val="4"/>
      </w:numPr>
      <w:contextualSpacing/>
    </w:pPr>
  </w:style>
  <w:style w:type="paragraph" w:styleId="Loenditpp2">
    <w:name w:val="List Bullet 2"/>
    <w:basedOn w:val="Normaallaad"/>
    <w:uiPriority w:val="99"/>
    <w:semiHidden/>
    <w:unhideWhenUsed/>
    <w:rsid w:val="00573AD5"/>
    <w:pPr>
      <w:numPr>
        <w:numId w:val="5"/>
      </w:numPr>
      <w:contextualSpacing/>
    </w:pPr>
  </w:style>
  <w:style w:type="paragraph" w:styleId="Loenditpp3">
    <w:name w:val="List Bullet 3"/>
    <w:basedOn w:val="Normaallaad"/>
    <w:uiPriority w:val="99"/>
    <w:semiHidden/>
    <w:unhideWhenUsed/>
    <w:rsid w:val="00573AD5"/>
    <w:pPr>
      <w:numPr>
        <w:numId w:val="6"/>
      </w:numPr>
      <w:contextualSpacing/>
    </w:pPr>
  </w:style>
  <w:style w:type="paragraph" w:styleId="Loenditpp4">
    <w:name w:val="List Bullet 4"/>
    <w:basedOn w:val="Normaallaad"/>
    <w:uiPriority w:val="99"/>
    <w:semiHidden/>
    <w:unhideWhenUsed/>
    <w:rsid w:val="00573AD5"/>
    <w:pPr>
      <w:numPr>
        <w:numId w:val="7"/>
      </w:numPr>
      <w:contextualSpacing/>
    </w:pPr>
  </w:style>
  <w:style w:type="paragraph" w:styleId="Redaktsioon">
    <w:name w:val="Revision"/>
    <w:hidden/>
    <w:uiPriority w:val="99"/>
    <w:semiHidden/>
    <w:rsid w:val="00296BE6"/>
    <w:pPr>
      <w:spacing w:after="0" w:line="240" w:lineRule="auto"/>
    </w:pPr>
    <w:rPr>
      <w:rFonts w:ascii="Times New Roman" w:hAnsi="Times New Roman" w:cs="Times New Roman"/>
      <w:sz w:val="24"/>
      <w:lang w:val="en-GB"/>
    </w:rPr>
  </w:style>
  <w:style w:type="character" w:styleId="Kommentaariviide">
    <w:name w:val="annotation reference"/>
    <w:basedOn w:val="Liguvaikefont"/>
    <w:uiPriority w:val="99"/>
    <w:semiHidden/>
    <w:unhideWhenUsed/>
    <w:rsid w:val="00296BE6"/>
    <w:rPr>
      <w:sz w:val="16"/>
      <w:szCs w:val="16"/>
    </w:rPr>
  </w:style>
  <w:style w:type="paragraph" w:styleId="Kommentaaritekst">
    <w:name w:val="annotation text"/>
    <w:basedOn w:val="Normaallaad"/>
    <w:link w:val="KommentaaritekstMrk"/>
    <w:uiPriority w:val="99"/>
    <w:unhideWhenUsed/>
    <w:rsid w:val="00296BE6"/>
    <w:rPr>
      <w:sz w:val="20"/>
      <w:szCs w:val="20"/>
    </w:rPr>
  </w:style>
  <w:style w:type="character" w:customStyle="1" w:styleId="KommentaaritekstMrk">
    <w:name w:val="Kommentaari tekst Märk"/>
    <w:basedOn w:val="Liguvaikefont"/>
    <w:link w:val="Kommentaaritekst"/>
    <w:uiPriority w:val="99"/>
    <w:rsid w:val="00296BE6"/>
    <w:rPr>
      <w:rFonts w:ascii="Times New Roman" w:hAnsi="Times New Roman" w:cs="Times New Roman"/>
      <w:sz w:val="20"/>
      <w:szCs w:val="20"/>
      <w:lang w:val="en-GB"/>
    </w:rPr>
  </w:style>
  <w:style w:type="paragraph" w:styleId="Kommentaariteema">
    <w:name w:val="annotation subject"/>
    <w:basedOn w:val="Kommentaaritekst"/>
    <w:next w:val="Kommentaaritekst"/>
    <w:link w:val="KommentaariteemaMrk"/>
    <w:uiPriority w:val="99"/>
    <w:semiHidden/>
    <w:unhideWhenUsed/>
    <w:rsid w:val="00296BE6"/>
    <w:rPr>
      <w:b/>
      <w:bCs/>
    </w:rPr>
  </w:style>
  <w:style w:type="character" w:customStyle="1" w:styleId="KommentaariteemaMrk">
    <w:name w:val="Kommentaari teema Märk"/>
    <w:basedOn w:val="KommentaaritekstMrk"/>
    <w:link w:val="Kommentaariteema"/>
    <w:uiPriority w:val="99"/>
    <w:semiHidden/>
    <w:rsid w:val="00296BE6"/>
    <w:rPr>
      <w:rFonts w:ascii="Times New Roman" w:hAnsi="Times New Roman" w:cs="Times New Roman"/>
      <w:b/>
      <w:bCs/>
      <w:sz w:val="20"/>
      <w:szCs w:val="20"/>
      <w:lang w:val="en-GB"/>
    </w:rPr>
  </w:style>
  <w:style w:type="character" w:styleId="Hperlink">
    <w:name w:val="Hyperlink"/>
    <w:basedOn w:val="Liguvaikefont"/>
    <w:uiPriority w:val="99"/>
    <w:unhideWhenUsed/>
    <w:rsid w:val="001827B1"/>
    <w:rPr>
      <w:color w:val="0000FF"/>
      <w:u w:val="single"/>
    </w:rPr>
  </w:style>
  <w:style w:type="character" w:customStyle="1" w:styleId="UnresolvedMention1">
    <w:name w:val="Unresolved Mention1"/>
    <w:basedOn w:val="Liguvaikefont"/>
    <w:uiPriority w:val="99"/>
    <w:semiHidden/>
    <w:unhideWhenUsed/>
    <w:rsid w:val="009C7EB3"/>
    <w:rPr>
      <w:color w:val="605E5C"/>
      <w:shd w:val="clear" w:color="auto" w:fill="E1DFDD"/>
    </w:rPr>
  </w:style>
  <w:style w:type="character" w:styleId="Klastatudhperlink">
    <w:name w:val="FollowedHyperlink"/>
    <w:basedOn w:val="Liguvaikefont"/>
    <w:uiPriority w:val="99"/>
    <w:semiHidden/>
    <w:unhideWhenUsed/>
    <w:rsid w:val="00A52D5B"/>
    <w:rPr>
      <w:color w:val="800080" w:themeColor="followedHyperlink"/>
      <w:u w:val="single"/>
    </w:rPr>
  </w:style>
  <w:style w:type="character" w:customStyle="1" w:styleId="UnresolvedMention2">
    <w:name w:val="Unresolved Mention2"/>
    <w:basedOn w:val="Liguvaikefont"/>
    <w:uiPriority w:val="99"/>
    <w:semiHidden/>
    <w:unhideWhenUsed/>
    <w:rsid w:val="00BF6B0B"/>
    <w:rPr>
      <w:color w:val="605E5C"/>
      <w:shd w:val="clear" w:color="auto" w:fill="E1DFDD"/>
    </w:rPr>
  </w:style>
  <w:style w:type="character" w:customStyle="1" w:styleId="PisMrk">
    <w:name w:val="Päis Märk"/>
    <w:basedOn w:val="Liguvaikefont"/>
    <w:link w:val="Pis"/>
    <w:uiPriority w:val="99"/>
    <w:rsid w:val="001D0895"/>
    <w:rPr>
      <w:rFonts w:ascii="Times New Roman" w:hAnsi="Times New Roman" w:cs="Times New Roman"/>
      <w:sz w:val="24"/>
      <w:lang w:val="en-GB"/>
    </w:rPr>
  </w:style>
  <w:style w:type="character" w:customStyle="1" w:styleId="JalusMrk">
    <w:name w:val="Jalus Märk"/>
    <w:basedOn w:val="Liguvaikefont"/>
    <w:link w:val="Jalus"/>
    <w:uiPriority w:val="99"/>
    <w:rsid w:val="001D0895"/>
    <w:rPr>
      <w:rFonts w:ascii="Times New Roman" w:hAnsi="Times New Roman" w:cs="Times New Roman"/>
      <w:sz w:val="24"/>
      <w:lang w:val="en-GB"/>
    </w:rPr>
  </w:style>
  <w:style w:type="paragraph" w:styleId="Allmrkusetekst">
    <w:name w:val="footnote text"/>
    <w:basedOn w:val="Normaallaad"/>
    <w:link w:val="AllmrkusetekstMrk"/>
    <w:uiPriority w:val="99"/>
    <w:semiHidden/>
    <w:unhideWhenUsed/>
    <w:pPr>
      <w:spacing w:before="0" w:after="0"/>
      <w:ind w:left="720" w:hanging="720"/>
    </w:pPr>
    <w:rPr>
      <w:sz w:val="20"/>
      <w:szCs w:val="20"/>
    </w:rPr>
  </w:style>
  <w:style w:type="character" w:customStyle="1" w:styleId="AllmrkusetekstMrk">
    <w:name w:val="Allmärkuse tekst Märk"/>
    <w:basedOn w:val="Liguvaikefont"/>
    <w:link w:val="Allmrkusetekst"/>
    <w:uiPriority w:val="99"/>
    <w:semiHidden/>
    <w:rPr>
      <w:rFonts w:ascii="Times New Roman" w:hAnsi="Times New Roman" w:cs="Times New Roman"/>
      <w:sz w:val="20"/>
      <w:szCs w:val="20"/>
      <w:shd w:val="clear" w:color="auto" w:fill="auto"/>
      <w:lang w:val="en-GB"/>
    </w:rPr>
  </w:style>
  <w:style w:type="character" w:customStyle="1" w:styleId="Pealkiri1Mrk">
    <w:name w:val="Pealkiri 1 Märk"/>
    <w:basedOn w:val="Liguvaikefont"/>
    <w:link w:val="Pealkiri1"/>
    <w:uiPriority w:val="9"/>
    <w:rPr>
      <w:rFonts w:ascii="Times New Roman" w:eastAsiaTheme="majorEastAsia" w:hAnsi="Times New Roman" w:cs="Times New Roman"/>
      <w:b/>
      <w:bCs/>
      <w:smallCaps/>
      <w:sz w:val="24"/>
      <w:szCs w:val="28"/>
      <w:shd w:val="clear" w:color="auto" w:fill="auto"/>
      <w:lang w:val="en-GB"/>
    </w:rPr>
  </w:style>
  <w:style w:type="character" w:customStyle="1" w:styleId="Pealkiri2Mrk">
    <w:name w:val="Pealkiri 2 Märk"/>
    <w:basedOn w:val="Liguvaikefont"/>
    <w:link w:val="Pealkiri2"/>
    <w:uiPriority w:val="9"/>
    <w:semiHidden/>
    <w:rPr>
      <w:rFonts w:ascii="Times New Roman" w:eastAsiaTheme="majorEastAsia" w:hAnsi="Times New Roman" w:cs="Times New Roman"/>
      <w:b/>
      <w:bCs/>
      <w:sz w:val="24"/>
      <w:szCs w:val="26"/>
      <w:shd w:val="clear" w:color="auto" w:fill="auto"/>
      <w:lang w:val="en-GB"/>
    </w:rPr>
  </w:style>
  <w:style w:type="character" w:customStyle="1" w:styleId="Pealkiri3Mrk">
    <w:name w:val="Pealkiri 3 Märk"/>
    <w:basedOn w:val="Liguvaikefont"/>
    <w:link w:val="Pealkiri3"/>
    <w:uiPriority w:val="9"/>
    <w:semiHidden/>
    <w:rPr>
      <w:rFonts w:ascii="Times New Roman" w:eastAsiaTheme="majorEastAsia" w:hAnsi="Times New Roman" w:cs="Times New Roman"/>
      <w:bCs/>
      <w:i/>
      <w:sz w:val="24"/>
      <w:shd w:val="clear" w:color="auto" w:fill="auto"/>
      <w:lang w:val="en-GB"/>
    </w:rPr>
  </w:style>
  <w:style w:type="character" w:customStyle="1" w:styleId="Pealkiri4Mrk">
    <w:name w:val="Pealkiri 4 Märk"/>
    <w:basedOn w:val="Liguvaikefont"/>
    <w:link w:val="Pealkiri4"/>
    <w:uiPriority w:val="9"/>
    <w:semiHidden/>
    <w:rPr>
      <w:rFonts w:ascii="Times New Roman" w:eastAsiaTheme="majorEastAsia" w:hAnsi="Times New Roman" w:cs="Times New Roman"/>
      <w:bCs/>
      <w:iCs/>
      <w:sz w:val="24"/>
      <w:shd w:val="clear" w:color="auto" w:fill="auto"/>
      <w:lang w:val="en-GB"/>
    </w:rPr>
  </w:style>
  <w:style w:type="character" w:customStyle="1" w:styleId="Pealkiri5Mrk">
    <w:name w:val="Pealkiri 5 Märk"/>
    <w:basedOn w:val="Liguvaikefont"/>
    <w:link w:val="Pealkiri5"/>
    <w:uiPriority w:val="9"/>
    <w:semiHidden/>
    <w:rPr>
      <w:rFonts w:ascii="Times New Roman" w:eastAsiaTheme="majorEastAsia" w:hAnsi="Times New Roman" w:cs="Times New Roman"/>
      <w:sz w:val="24"/>
      <w:shd w:val="clear" w:color="auto" w:fill="auto"/>
      <w:lang w:val="en-GB"/>
    </w:rPr>
  </w:style>
  <w:style w:type="character" w:customStyle="1" w:styleId="Pealkiri6Mrk">
    <w:name w:val="Pealkiri 6 Märk"/>
    <w:basedOn w:val="Liguvaikefont"/>
    <w:link w:val="Pealkiri6"/>
    <w:uiPriority w:val="9"/>
    <w:semiHidden/>
    <w:rPr>
      <w:rFonts w:ascii="Times New Roman" w:eastAsiaTheme="majorEastAsia" w:hAnsi="Times New Roman" w:cs="Times New Roman"/>
      <w:iCs/>
      <w:sz w:val="24"/>
      <w:shd w:val="clear" w:color="auto" w:fill="auto"/>
      <w:lang w:val="en-GB"/>
    </w:rPr>
  </w:style>
  <w:style w:type="character" w:customStyle="1" w:styleId="Pealkiri7Mrk">
    <w:name w:val="Pealkiri 7 Märk"/>
    <w:basedOn w:val="Liguvaikefont"/>
    <w:link w:val="Pealkiri7"/>
    <w:uiPriority w:val="9"/>
    <w:semiHidden/>
    <w:rPr>
      <w:rFonts w:ascii="Times New Roman" w:eastAsiaTheme="majorEastAsia" w:hAnsi="Times New Roman" w:cs="Times New Roman"/>
      <w:iCs/>
      <w:sz w:val="24"/>
      <w:shd w:val="clear" w:color="auto" w:fill="auto"/>
      <w:lang w:val="en-GB"/>
    </w:rPr>
  </w:style>
  <w:style w:type="paragraph" w:styleId="Sisukorrapealkiri">
    <w:name w:val="TOC Heading"/>
    <w:basedOn w:val="Normaallaad"/>
    <w:next w:val="Normaallaad"/>
    <w:uiPriority w:val="39"/>
    <w:semiHidden/>
    <w:unhideWhenUsed/>
    <w:qFormat/>
    <w:pPr>
      <w:spacing w:after="240"/>
      <w:jc w:val="center"/>
    </w:pPr>
    <w:rPr>
      <w:b/>
      <w:sz w:val="28"/>
    </w:rPr>
  </w:style>
  <w:style w:type="paragraph" w:styleId="SK1">
    <w:name w:val="toc 1"/>
    <w:basedOn w:val="Normaallaad"/>
    <w:next w:val="Normaallaad"/>
    <w:uiPriority w:val="39"/>
    <w:semiHidden/>
    <w:unhideWhenUsed/>
    <w:pPr>
      <w:tabs>
        <w:tab w:val="right" w:leader="dot" w:pos="9071"/>
      </w:tabs>
      <w:spacing w:before="60"/>
      <w:ind w:left="850" w:hanging="850"/>
      <w:jc w:val="left"/>
    </w:pPr>
  </w:style>
  <w:style w:type="paragraph" w:styleId="SK2">
    <w:name w:val="toc 2"/>
    <w:basedOn w:val="Normaallaad"/>
    <w:next w:val="Normaallaad"/>
    <w:uiPriority w:val="39"/>
    <w:semiHidden/>
    <w:unhideWhenUsed/>
    <w:pPr>
      <w:tabs>
        <w:tab w:val="right" w:leader="dot" w:pos="9071"/>
      </w:tabs>
      <w:spacing w:before="60"/>
      <w:ind w:left="850" w:hanging="850"/>
      <w:jc w:val="left"/>
    </w:pPr>
  </w:style>
  <w:style w:type="paragraph" w:styleId="SK3">
    <w:name w:val="toc 3"/>
    <w:basedOn w:val="Normaallaad"/>
    <w:next w:val="Normaallaad"/>
    <w:uiPriority w:val="39"/>
    <w:semiHidden/>
    <w:unhideWhenUsed/>
    <w:pPr>
      <w:tabs>
        <w:tab w:val="right" w:leader="dot" w:pos="9071"/>
      </w:tabs>
      <w:spacing w:before="60"/>
      <w:ind w:left="850" w:hanging="850"/>
      <w:jc w:val="left"/>
    </w:pPr>
  </w:style>
  <w:style w:type="paragraph" w:styleId="SK4">
    <w:name w:val="toc 4"/>
    <w:basedOn w:val="Normaallaad"/>
    <w:next w:val="Normaallaad"/>
    <w:uiPriority w:val="39"/>
    <w:semiHidden/>
    <w:unhideWhenUsed/>
    <w:pPr>
      <w:tabs>
        <w:tab w:val="right" w:leader="dot" w:pos="9071"/>
      </w:tabs>
      <w:spacing w:before="60"/>
      <w:ind w:left="850" w:hanging="850"/>
      <w:jc w:val="left"/>
    </w:pPr>
  </w:style>
  <w:style w:type="paragraph" w:styleId="SK5">
    <w:name w:val="toc 5"/>
    <w:basedOn w:val="Normaallaad"/>
    <w:next w:val="Normaallaad"/>
    <w:uiPriority w:val="39"/>
    <w:semiHidden/>
    <w:unhideWhenUsed/>
    <w:pPr>
      <w:tabs>
        <w:tab w:val="right" w:leader="dot" w:pos="9071"/>
      </w:tabs>
      <w:spacing w:before="300"/>
      <w:jc w:val="left"/>
    </w:pPr>
  </w:style>
  <w:style w:type="paragraph" w:styleId="SK6">
    <w:name w:val="toc 6"/>
    <w:basedOn w:val="Normaallaad"/>
    <w:next w:val="Normaallaad"/>
    <w:uiPriority w:val="39"/>
    <w:semiHidden/>
    <w:unhideWhenUsed/>
    <w:pPr>
      <w:tabs>
        <w:tab w:val="right" w:leader="dot" w:pos="9071"/>
      </w:tabs>
      <w:spacing w:before="240"/>
      <w:jc w:val="left"/>
    </w:pPr>
  </w:style>
  <w:style w:type="paragraph" w:styleId="SK7">
    <w:name w:val="toc 7"/>
    <w:basedOn w:val="Normaallaad"/>
    <w:next w:val="Normaallaad"/>
    <w:uiPriority w:val="39"/>
    <w:semiHidden/>
    <w:unhideWhenUsed/>
    <w:pPr>
      <w:tabs>
        <w:tab w:val="right" w:leader="dot" w:pos="9071"/>
      </w:tabs>
      <w:spacing w:before="180"/>
      <w:jc w:val="left"/>
    </w:pPr>
  </w:style>
  <w:style w:type="paragraph" w:styleId="SK8">
    <w:name w:val="toc 8"/>
    <w:basedOn w:val="Normaallaad"/>
    <w:next w:val="Normaallaad"/>
    <w:uiPriority w:val="39"/>
    <w:semiHidden/>
    <w:unhideWhenUsed/>
    <w:pPr>
      <w:tabs>
        <w:tab w:val="right" w:leader="dot" w:pos="9071"/>
      </w:tabs>
      <w:jc w:val="left"/>
    </w:pPr>
  </w:style>
  <w:style w:type="paragraph" w:styleId="SK9">
    <w:name w:val="toc 9"/>
    <w:basedOn w:val="Normaallaad"/>
    <w:next w:val="Normaallaad"/>
    <w:uiPriority w:val="39"/>
    <w:semiHidden/>
    <w:unhideWhenUsed/>
    <w:pPr>
      <w:tabs>
        <w:tab w:val="right" w:leader="dot" w:pos="9071"/>
      </w:tabs>
      <w:ind w:left="1417" w:hanging="1417"/>
      <w:jc w:val="left"/>
    </w:pPr>
  </w:style>
  <w:style w:type="character" w:styleId="Allmrkuseviide">
    <w:name w:val="footnote reference"/>
    <w:basedOn w:val="Liguvaikefont"/>
    <w:uiPriority w:val="99"/>
    <w:semiHidden/>
    <w:unhideWhenUsed/>
    <w:rPr>
      <w:shd w:val="clear" w:color="auto" w:fill="auto"/>
      <w:vertAlign w:val="superscript"/>
    </w:rPr>
  </w:style>
  <w:style w:type="paragraph" w:customStyle="1" w:styleId="HeaderSensitivity">
    <w:name w:val="Header Sensitivity"/>
    <w:basedOn w:val="Normaallaad"/>
    <w:rsid w:val="001D0895"/>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allaad"/>
    <w:rsid w:val="001D0895"/>
    <w:pPr>
      <w:spacing w:before="0"/>
      <w:jc w:val="right"/>
    </w:pPr>
    <w:rPr>
      <w:sz w:val="28"/>
    </w:rPr>
  </w:style>
  <w:style w:type="paragraph" w:customStyle="1" w:styleId="FooterSensitivity">
    <w:name w:val="Footer Sensitivity"/>
    <w:basedOn w:val="Normaallaad"/>
    <w:rsid w:val="001D0895"/>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allaad"/>
    <w:pPr>
      <w:ind w:left="850"/>
    </w:pPr>
  </w:style>
  <w:style w:type="paragraph" w:customStyle="1" w:styleId="Text2">
    <w:name w:val="Text 2"/>
    <w:basedOn w:val="Normaallaad"/>
    <w:pPr>
      <w:ind w:left="1417"/>
    </w:pPr>
  </w:style>
  <w:style w:type="paragraph" w:customStyle="1" w:styleId="Text3">
    <w:name w:val="Text 3"/>
    <w:basedOn w:val="Normaallaad"/>
    <w:pPr>
      <w:ind w:left="1984"/>
    </w:pPr>
  </w:style>
  <w:style w:type="paragraph" w:customStyle="1" w:styleId="Text4">
    <w:name w:val="Text 4"/>
    <w:basedOn w:val="Normaallaad"/>
    <w:pPr>
      <w:ind w:left="2551"/>
    </w:pPr>
  </w:style>
  <w:style w:type="paragraph" w:customStyle="1" w:styleId="Text5">
    <w:name w:val="Text 5"/>
    <w:basedOn w:val="Normaallaad"/>
    <w:pPr>
      <w:ind w:left="3118"/>
    </w:pPr>
  </w:style>
  <w:style w:type="paragraph" w:customStyle="1" w:styleId="Text6">
    <w:name w:val="Text 6"/>
    <w:basedOn w:val="Normaallaad"/>
    <w:pPr>
      <w:ind w:left="3685"/>
    </w:pPr>
  </w:style>
  <w:style w:type="paragraph" w:customStyle="1" w:styleId="NormalCentered">
    <w:name w:val="Normal Centered"/>
    <w:basedOn w:val="Normaallaad"/>
    <w:pPr>
      <w:jc w:val="center"/>
    </w:pPr>
  </w:style>
  <w:style w:type="paragraph" w:customStyle="1" w:styleId="NormalLeft">
    <w:name w:val="Normal Left"/>
    <w:basedOn w:val="Normaallaad"/>
    <w:pPr>
      <w:jc w:val="left"/>
    </w:pPr>
  </w:style>
  <w:style w:type="paragraph" w:customStyle="1" w:styleId="NormalRight">
    <w:name w:val="Normal Right"/>
    <w:basedOn w:val="Normaallaad"/>
    <w:pPr>
      <w:jc w:val="right"/>
    </w:pPr>
  </w:style>
  <w:style w:type="paragraph" w:customStyle="1" w:styleId="QuotedText">
    <w:name w:val="Quoted Text"/>
    <w:basedOn w:val="Normaallaad"/>
    <w:pPr>
      <w:ind w:left="1417"/>
    </w:pPr>
  </w:style>
  <w:style w:type="paragraph" w:customStyle="1" w:styleId="Point0">
    <w:name w:val="Point 0"/>
    <w:basedOn w:val="Normaallaad"/>
    <w:pPr>
      <w:ind w:left="850" w:hanging="850"/>
    </w:pPr>
  </w:style>
  <w:style w:type="paragraph" w:customStyle="1" w:styleId="Point1">
    <w:name w:val="Point 1"/>
    <w:basedOn w:val="Normaallaad"/>
    <w:pPr>
      <w:ind w:left="1417" w:hanging="567"/>
    </w:pPr>
  </w:style>
  <w:style w:type="paragraph" w:customStyle="1" w:styleId="Point2">
    <w:name w:val="Point 2"/>
    <w:basedOn w:val="Normaallaad"/>
    <w:pPr>
      <w:ind w:left="1984" w:hanging="567"/>
    </w:pPr>
  </w:style>
  <w:style w:type="paragraph" w:customStyle="1" w:styleId="Point3">
    <w:name w:val="Point 3"/>
    <w:basedOn w:val="Normaallaad"/>
    <w:pPr>
      <w:ind w:left="2551" w:hanging="567"/>
    </w:pPr>
  </w:style>
  <w:style w:type="paragraph" w:customStyle="1" w:styleId="Point4">
    <w:name w:val="Point 4"/>
    <w:basedOn w:val="Normaallaad"/>
    <w:pPr>
      <w:ind w:left="3118" w:hanging="567"/>
    </w:pPr>
  </w:style>
  <w:style w:type="paragraph" w:customStyle="1" w:styleId="Point5">
    <w:name w:val="Point 5"/>
    <w:basedOn w:val="Normaallaad"/>
    <w:pPr>
      <w:ind w:left="3685"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Tiret5">
    <w:name w:val="Tiret 5"/>
    <w:basedOn w:val="Point5"/>
    <w:pPr>
      <w:numPr>
        <w:numId w:val="34"/>
      </w:numPr>
    </w:pPr>
  </w:style>
  <w:style w:type="paragraph" w:customStyle="1" w:styleId="PointDouble0">
    <w:name w:val="PointDouble 0"/>
    <w:basedOn w:val="Normaallaad"/>
    <w:pPr>
      <w:tabs>
        <w:tab w:val="left" w:pos="850"/>
      </w:tabs>
      <w:ind w:left="1417" w:hanging="1417"/>
    </w:pPr>
  </w:style>
  <w:style w:type="paragraph" w:customStyle="1" w:styleId="PointDouble1">
    <w:name w:val="PointDouble 1"/>
    <w:basedOn w:val="Normaallaad"/>
    <w:pPr>
      <w:tabs>
        <w:tab w:val="left" w:pos="1417"/>
      </w:tabs>
      <w:ind w:left="1984" w:hanging="1134"/>
    </w:pPr>
  </w:style>
  <w:style w:type="paragraph" w:customStyle="1" w:styleId="PointDouble2">
    <w:name w:val="PointDouble 2"/>
    <w:basedOn w:val="Normaallaad"/>
    <w:pPr>
      <w:tabs>
        <w:tab w:val="left" w:pos="1984"/>
      </w:tabs>
      <w:ind w:left="2551" w:hanging="1134"/>
    </w:pPr>
  </w:style>
  <w:style w:type="paragraph" w:customStyle="1" w:styleId="PointDouble3">
    <w:name w:val="PointDouble 3"/>
    <w:basedOn w:val="Normaallaad"/>
    <w:pPr>
      <w:tabs>
        <w:tab w:val="left" w:pos="2551"/>
      </w:tabs>
      <w:ind w:left="3118" w:hanging="1134"/>
    </w:pPr>
  </w:style>
  <w:style w:type="paragraph" w:customStyle="1" w:styleId="PointDouble4">
    <w:name w:val="PointDouble 4"/>
    <w:basedOn w:val="Normaallaad"/>
    <w:pPr>
      <w:tabs>
        <w:tab w:val="left" w:pos="3118"/>
      </w:tabs>
      <w:ind w:left="3685" w:hanging="1134"/>
    </w:pPr>
  </w:style>
  <w:style w:type="paragraph" w:customStyle="1" w:styleId="PointTriple0">
    <w:name w:val="PointTriple 0"/>
    <w:basedOn w:val="Normaallaad"/>
    <w:pPr>
      <w:tabs>
        <w:tab w:val="left" w:pos="850"/>
        <w:tab w:val="left" w:pos="1417"/>
      </w:tabs>
      <w:ind w:left="1984" w:hanging="1984"/>
    </w:pPr>
  </w:style>
  <w:style w:type="paragraph" w:customStyle="1" w:styleId="PointTriple1">
    <w:name w:val="PointTriple 1"/>
    <w:basedOn w:val="Normaallaad"/>
    <w:pPr>
      <w:tabs>
        <w:tab w:val="left" w:pos="1417"/>
        <w:tab w:val="left" w:pos="1984"/>
      </w:tabs>
      <w:ind w:left="2551" w:hanging="1701"/>
    </w:pPr>
  </w:style>
  <w:style w:type="paragraph" w:customStyle="1" w:styleId="PointTriple2">
    <w:name w:val="PointTriple 2"/>
    <w:basedOn w:val="Normaallaad"/>
    <w:pPr>
      <w:tabs>
        <w:tab w:val="left" w:pos="1984"/>
        <w:tab w:val="left" w:pos="2551"/>
      </w:tabs>
      <w:ind w:left="3118" w:hanging="1701"/>
    </w:pPr>
  </w:style>
  <w:style w:type="paragraph" w:customStyle="1" w:styleId="PointTriple3">
    <w:name w:val="PointTriple 3"/>
    <w:basedOn w:val="Normaallaad"/>
    <w:pPr>
      <w:tabs>
        <w:tab w:val="left" w:pos="2551"/>
        <w:tab w:val="left" w:pos="3118"/>
      </w:tabs>
      <w:ind w:left="3685" w:hanging="1701"/>
    </w:pPr>
  </w:style>
  <w:style w:type="paragraph" w:customStyle="1" w:styleId="PointTriple4">
    <w:name w:val="PointTriple 4"/>
    <w:basedOn w:val="Normaallaad"/>
    <w:pPr>
      <w:tabs>
        <w:tab w:val="left" w:pos="3118"/>
        <w:tab w:val="left" w:pos="3685"/>
      </w:tabs>
      <w:ind w:left="4252" w:hanging="1701"/>
    </w:pPr>
  </w:style>
  <w:style w:type="paragraph" w:customStyle="1" w:styleId="NumPar1">
    <w:name w:val="NumPar 1"/>
    <w:basedOn w:val="Normaallaad"/>
    <w:next w:val="Text1"/>
    <w:pPr>
      <w:numPr>
        <w:numId w:val="35"/>
      </w:numPr>
    </w:pPr>
  </w:style>
  <w:style w:type="paragraph" w:customStyle="1" w:styleId="NumPar2">
    <w:name w:val="NumPar 2"/>
    <w:basedOn w:val="Normaallaad"/>
    <w:next w:val="Text1"/>
    <w:pPr>
      <w:numPr>
        <w:ilvl w:val="1"/>
        <w:numId w:val="35"/>
      </w:numPr>
    </w:pPr>
  </w:style>
  <w:style w:type="paragraph" w:customStyle="1" w:styleId="NumPar3">
    <w:name w:val="NumPar 3"/>
    <w:basedOn w:val="Normaallaad"/>
    <w:next w:val="Text1"/>
    <w:pPr>
      <w:numPr>
        <w:ilvl w:val="2"/>
        <w:numId w:val="35"/>
      </w:numPr>
    </w:pPr>
  </w:style>
  <w:style w:type="paragraph" w:customStyle="1" w:styleId="NumPar4">
    <w:name w:val="NumPar 4"/>
    <w:basedOn w:val="Normaallaad"/>
    <w:next w:val="Text1"/>
    <w:pPr>
      <w:numPr>
        <w:ilvl w:val="3"/>
        <w:numId w:val="35"/>
      </w:numPr>
    </w:pPr>
  </w:style>
  <w:style w:type="paragraph" w:customStyle="1" w:styleId="NumPar5">
    <w:name w:val="NumPar 5"/>
    <w:basedOn w:val="Normaallaad"/>
    <w:next w:val="Text2"/>
    <w:pPr>
      <w:numPr>
        <w:ilvl w:val="4"/>
        <w:numId w:val="35"/>
      </w:numPr>
    </w:pPr>
  </w:style>
  <w:style w:type="paragraph" w:customStyle="1" w:styleId="NumPar6">
    <w:name w:val="NumPar 6"/>
    <w:basedOn w:val="Normaallaad"/>
    <w:next w:val="Text2"/>
    <w:pPr>
      <w:numPr>
        <w:ilvl w:val="5"/>
        <w:numId w:val="35"/>
      </w:numPr>
    </w:pPr>
  </w:style>
  <w:style w:type="paragraph" w:customStyle="1" w:styleId="NumPar7">
    <w:name w:val="NumPar 7"/>
    <w:basedOn w:val="Normaallaad"/>
    <w:next w:val="Text2"/>
    <w:pPr>
      <w:numPr>
        <w:ilvl w:val="6"/>
        <w:numId w:val="35"/>
      </w:numPr>
    </w:pPr>
  </w:style>
  <w:style w:type="paragraph" w:customStyle="1" w:styleId="ManualNumPar1">
    <w:name w:val="Manual NumPar 1"/>
    <w:basedOn w:val="Normaallaad"/>
    <w:next w:val="Text1"/>
    <w:pPr>
      <w:ind w:left="850" w:hanging="850"/>
    </w:pPr>
  </w:style>
  <w:style w:type="paragraph" w:customStyle="1" w:styleId="ManualNumPar2">
    <w:name w:val="Manual NumPar 2"/>
    <w:basedOn w:val="Normaallaad"/>
    <w:next w:val="Text1"/>
    <w:pPr>
      <w:ind w:left="850" w:hanging="850"/>
    </w:pPr>
  </w:style>
  <w:style w:type="paragraph" w:customStyle="1" w:styleId="ManualNumPar3">
    <w:name w:val="Manual NumPar 3"/>
    <w:basedOn w:val="Normaallaad"/>
    <w:next w:val="Text1"/>
    <w:pPr>
      <w:ind w:left="850" w:hanging="850"/>
    </w:pPr>
  </w:style>
  <w:style w:type="paragraph" w:customStyle="1" w:styleId="ManualNumPar4">
    <w:name w:val="Manual NumPar 4"/>
    <w:basedOn w:val="Normaallaad"/>
    <w:next w:val="Text1"/>
    <w:pPr>
      <w:ind w:left="850" w:hanging="850"/>
    </w:pPr>
  </w:style>
  <w:style w:type="paragraph" w:customStyle="1" w:styleId="ManualNumPar5">
    <w:name w:val="Manual NumPar 5"/>
    <w:basedOn w:val="Normaallaad"/>
    <w:next w:val="Text2"/>
    <w:pPr>
      <w:ind w:left="1417" w:hanging="1417"/>
    </w:pPr>
  </w:style>
  <w:style w:type="paragraph" w:customStyle="1" w:styleId="ManualNumPar6">
    <w:name w:val="Manual NumPar 6"/>
    <w:basedOn w:val="Normaallaad"/>
    <w:next w:val="Text2"/>
    <w:pPr>
      <w:ind w:left="1417" w:hanging="1417"/>
    </w:pPr>
  </w:style>
  <w:style w:type="paragraph" w:customStyle="1" w:styleId="ManualNumPar7">
    <w:name w:val="Manual NumPar 7"/>
    <w:basedOn w:val="Normaallaad"/>
    <w:next w:val="Text2"/>
    <w:pPr>
      <w:ind w:left="1417" w:hanging="1417"/>
    </w:pPr>
  </w:style>
  <w:style w:type="paragraph" w:customStyle="1" w:styleId="QuotedNumPar">
    <w:name w:val="Quoted NumPar"/>
    <w:basedOn w:val="Normaallaad"/>
    <w:pPr>
      <w:ind w:left="1417" w:hanging="567"/>
    </w:pPr>
  </w:style>
  <w:style w:type="paragraph" w:customStyle="1" w:styleId="ManualHeading1">
    <w:name w:val="Manual Heading 1"/>
    <w:basedOn w:val="Normaallaad"/>
    <w:next w:val="Text1"/>
    <w:pPr>
      <w:keepNext/>
      <w:tabs>
        <w:tab w:val="left" w:pos="850"/>
      </w:tabs>
      <w:spacing w:before="360"/>
      <w:ind w:left="850" w:hanging="850"/>
      <w:outlineLvl w:val="0"/>
    </w:pPr>
    <w:rPr>
      <w:b/>
      <w:smallCaps/>
    </w:rPr>
  </w:style>
  <w:style w:type="paragraph" w:customStyle="1" w:styleId="ManualHeading2">
    <w:name w:val="Manual Heading 2"/>
    <w:basedOn w:val="Normaallaad"/>
    <w:next w:val="Text1"/>
    <w:pPr>
      <w:keepNext/>
      <w:tabs>
        <w:tab w:val="left" w:pos="850"/>
      </w:tabs>
      <w:ind w:left="850" w:hanging="850"/>
      <w:outlineLvl w:val="1"/>
    </w:pPr>
    <w:rPr>
      <w:b/>
    </w:rPr>
  </w:style>
  <w:style w:type="paragraph" w:customStyle="1" w:styleId="ManualHeading3">
    <w:name w:val="Manual Heading 3"/>
    <w:basedOn w:val="Normaallaad"/>
    <w:next w:val="Text1"/>
    <w:pPr>
      <w:keepNext/>
      <w:tabs>
        <w:tab w:val="left" w:pos="850"/>
      </w:tabs>
      <w:ind w:left="850" w:hanging="850"/>
      <w:outlineLvl w:val="2"/>
    </w:pPr>
    <w:rPr>
      <w:i/>
    </w:rPr>
  </w:style>
  <w:style w:type="paragraph" w:customStyle="1" w:styleId="ManualHeading4">
    <w:name w:val="Manual Heading 4"/>
    <w:basedOn w:val="Normaallaad"/>
    <w:next w:val="Text1"/>
    <w:pPr>
      <w:keepNext/>
      <w:tabs>
        <w:tab w:val="left" w:pos="850"/>
      </w:tabs>
      <w:ind w:left="850" w:hanging="850"/>
      <w:outlineLvl w:val="3"/>
    </w:pPr>
  </w:style>
  <w:style w:type="paragraph" w:customStyle="1" w:styleId="ManualHeading5">
    <w:name w:val="Manual Heading 5"/>
    <w:basedOn w:val="Normaallaad"/>
    <w:next w:val="Text2"/>
    <w:pPr>
      <w:keepNext/>
      <w:tabs>
        <w:tab w:val="left" w:pos="1417"/>
      </w:tabs>
      <w:ind w:left="1417" w:hanging="1417"/>
      <w:outlineLvl w:val="4"/>
    </w:pPr>
  </w:style>
  <w:style w:type="paragraph" w:customStyle="1" w:styleId="ManualHeading6">
    <w:name w:val="Manual Heading 6"/>
    <w:basedOn w:val="Normaallaad"/>
    <w:next w:val="Text2"/>
    <w:pPr>
      <w:keepNext/>
      <w:tabs>
        <w:tab w:val="left" w:pos="1417"/>
      </w:tabs>
      <w:ind w:left="1417" w:hanging="1417"/>
      <w:outlineLvl w:val="5"/>
    </w:pPr>
  </w:style>
  <w:style w:type="paragraph" w:customStyle="1" w:styleId="ManualHeading7">
    <w:name w:val="Manual Heading 7"/>
    <w:basedOn w:val="Normaallaad"/>
    <w:next w:val="Text2"/>
    <w:pPr>
      <w:keepNext/>
      <w:tabs>
        <w:tab w:val="left" w:pos="1417"/>
      </w:tabs>
      <w:ind w:left="1417" w:hanging="1417"/>
      <w:outlineLvl w:val="6"/>
    </w:pPr>
  </w:style>
  <w:style w:type="paragraph" w:customStyle="1" w:styleId="ChapterTitle">
    <w:name w:val="ChapterTitle"/>
    <w:basedOn w:val="Normaallaad"/>
    <w:next w:val="Normaallaad"/>
    <w:pPr>
      <w:keepNext/>
      <w:spacing w:after="360"/>
      <w:jc w:val="center"/>
    </w:pPr>
    <w:rPr>
      <w:b/>
      <w:sz w:val="32"/>
    </w:rPr>
  </w:style>
  <w:style w:type="paragraph" w:customStyle="1" w:styleId="PartTitle">
    <w:name w:val="PartTitle"/>
    <w:basedOn w:val="Normaallaad"/>
    <w:next w:val="ChapterTitle"/>
    <w:pPr>
      <w:keepNext/>
      <w:pageBreakBefore/>
      <w:spacing w:after="360"/>
      <w:jc w:val="center"/>
    </w:pPr>
    <w:rPr>
      <w:b/>
      <w:sz w:val="36"/>
    </w:rPr>
  </w:style>
  <w:style w:type="paragraph" w:customStyle="1" w:styleId="SectionTitle">
    <w:name w:val="SectionTitle"/>
    <w:basedOn w:val="Normaallaad"/>
    <w:next w:val="Pealkiri1"/>
    <w:pPr>
      <w:keepNext/>
      <w:spacing w:after="360"/>
      <w:jc w:val="center"/>
    </w:pPr>
    <w:rPr>
      <w:b/>
      <w:smallCaps/>
      <w:sz w:val="28"/>
    </w:rPr>
  </w:style>
  <w:style w:type="paragraph" w:customStyle="1" w:styleId="TableTitle">
    <w:name w:val="Table Title"/>
    <w:basedOn w:val="Normaallaad"/>
    <w:next w:val="Normaallaad"/>
    <w:pPr>
      <w:jc w:val="center"/>
    </w:pPr>
    <w:rPr>
      <w:b/>
    </w:rPr>
  </w:style>
  <w:style w:type="character" w:customStyle="1" w:styleId="Marker">
    <w:name w:val="Marker"/>
    <w:basedOn w:val="Liguvaikefont"/>
    <w:rPr>
      <w:color w:val="0000FF"/>
      <w:shd w:val="clear" w:color="auto" w:fill="auto"/>
    </w:rPr>
  </w:style>
  <w:style w:type="character" w:customStyle="1" w:styleId="Marker1">
    <w:name w:val="Marker1"/>
    <w:basedOn w:val="Liguvaikefont"/>
    <w:rPr>
      <w:color w:val="008000"/>
      <w:shd w:val="clear" w:color="auto" w:fill="auto"/>
    </w:rPr>
  </w:style>
  <w:style w:type="character" w:customStyle="1" w:styleId="Marker2">
    <w:name w:val="Marker2"/>
    <w:basedOn w:val="Liguvaikefont"/>
    <w:rPr>
      <w:color w:val="FF0000"/>
      <w:shd w:val="clear" w:color="auto" w:fill="auto"/>
    </w:rPr>
  </w:style>
  <w:style w:type="paragraph" w:customStyle="1" w:styleId="Point0number">
    <w:name w:val="Point 0 (number)"/>
    <w:basedOn w:val="Normaallaad"/>
    <w:pPr>
      <w:numPr>
        <w:numId w:val="37"/>
      </w:numPr>
    </w:pPr>
  </w:style>
  <w:style w:type="paragraph" w:customStyle="1" w:styleId="Point1number">
    <w:name w:val="Point 1 (number)"/>
    <w:basedOn w:val="Normaallaad"/>
    <w:pPr>
      <w:numPr>
        <w:ilvl w:val="2"/>
        <w:numId w:val="37"/>
      </w:numPr>
    </w:pPr>
  </w:style>
  <w:style w:type="paragraph" w:customStyle="1" w:styleId="Point2number">
    <w:name w:val="Point 2 (number)"/>
    <w:basedOn w:val="Normaallaad"/>
    <w:pPr>
      <w:numPr>
        <w:ilvl w:val="4"/>
        <w:numId w:val="37"/>
      </w:numPr>
    </w:pPr>
  </w:style>
  <w:style w:type="paragraph" w:customStyle="1" w:styleId="Point3number">
    <w:name w:val="Point 3 (number)"/>
    <w:basedOn w:val="Normaallaad"/>
    <w:pPr>
      <w:numPr>
        <w:ilvl w:val="6"/>
        <w:numId w:val="37"/>
      </w:numPr>
    </w:pPr>
  </w:style>
  <w:style w:type="paragraph" w:customStyle="1" w:styleId="Point0letter">
    <w:name w:val="Point 0 (letter)"/>
    <w:basedOn w:val="Normaallaad"/>
    <w:pPr>
      <w:numPr>
        <w:ilvl w:val="1"/>
        <w:numId w:val="37"/>
      </w:numPr>
    </w:pPr>
  </w:style>
  <w:style w:type="paragraph" w:customStyle="1" w:styleId="Point1letter">
    <w:name w:val="Point 1 (letter)"/>
    <w:basedOn w:val="Normaallaad"/>
    <w:pPr>
      <w:numPr>
        <w:ilvl w:val="3"/>
        <w:numId w:val="37"/>
      </w:numPr>
    </w:pPr>
  </w:style>
  <w:style w:type="paragraph" w:customStyle="1" w:styleId="Point2letter">
    <w:name w:val="Point 2 (letter)"/>
    <w:basedOn w:val="Normaallaad"/>
    <w:pPr>
      <w:numPr>
        <w:ilvl w:val="5"/>
        <w:numId w:val="37"/>
      </w:numPr>
    </w:pPr>
  </w:style>
  <w:style w:type="paragraph" w:customStyle="1" w:styleId="Point3letter">
    <w:name w:val="Point 3 (letter)"/>
    <w:basedOn w:val="Normaallaad"/>
    <w:pPr>
      <w:numPr>
        <w:ilvl w:val="7"/>
        <w:numId w:val="37"/>
      </w:numPr>
    </w:pPr>
  </w:style>
  <w:style w:type="paragraph" w:customStyle="1" w:styleId="Point4letter">
    <w:name w:val="Point 4 (letter)"/>
    <w:basedOn w:val="Normaallaad"/>
    <w:pPr>
      <w:numPr>
        <w:ilvl w:val="8"/>
        <w:numId w:val="37"/>
      </w:numPr>
    </w:pPr>
  </w:style>
  <w:style w:type="paragraph" w:customStyle="1" w:styleId="Bullet0">
    <w:name w:val="Bullet 0"/>
    <w:basedOn w:val="Normaallaad"/>
    <w:pPr>
      <w:numPr>
        <w:numId w:val="38"/>
      </w:numPr>
    </w:pPr>
  </w:style>
  <w:style w:type="paragraph" w:customStyle="1" w:styleId="Bullet1">
    <w:name w:val="Bullet 1"/>
    <w:basedOn w:val="Normaallaad"/>
    <w:pPr>
      <w:numPr>
        <w:numId w:val="39"/>
      </w:numPr>
    </w:pPr>
  </w:style>
  <w:style w:type="paragraph" w:customStyle="1" w:styleId="Bullet2">
    <w:name w:val="Bullet 2"/>
    <w:basedOn w:val="Normaallaad"/>
    <w:pPr>
      <w:numPr>
        <w:numId w:val="40"/>
      </w:numPr>
    </w:pPr>
  </w:style>
  <w:style w:type="paragraph" w:customStyle="1" w:styleId="Bullet3">
    <w:name w:val="Bullet 3"/>
    <w:basedOn w:val="Normaallaad"/>
    <w:pPr>
      <w:numPr>
        <w:numId w:val="41"/>
      </w:numPr>
    </w:pPr>
  </w:style>
  <w:style w:type="paragraph" w:customStyle="1" w:styleId="Bullet4">
    <w:name w:val="Bullet 4"/>
    <w:basedOn w:val="Normaallaad"/>
    <w:pPr>
      <w:numPr>
        <w:numId w:val="42"/>
      </w:numPr>
    </w:pPr>
  </w:style>
  <w:style w:type="paragraph" w:customStyle="1" w:styleId="Langue">
    <w:name w:val="Langue"/>
    <w:basedOn w:val="Normaallaad"/>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allaad"/>
    <w:next w:val="Emission"/>
    <w:pPr>
      <w:spacing w:before="0" w:after="0"/>
      <w:jc w:val="left"/>
    </w:pPr>
    <w:rPr>
      <w:rFonts w:ascii="Arial" w:hAnsi="Arial" w:cs="Arial"/>
    </w:rPr>
  </w:style>
  <w:style w:type="paragraph" w:customStyle="1" w:styleId="Emission">
    <w:name w:val="Emission"/>
    <w:basedOn w:val="Normaallaad"/>
    <w:next w:val="Rfrenceinstitutionnelle"/>
    <w:pPr>
      <w:spacing w:before="0" w:after="0"/>
      <w:ind w:left="5103"/>
      <w:jc w:val="left"/>
    </w:pPr>
  </w:style>
  <w:style w:type="paragraph" w:customStyle="1" w:styleId="Rfrenceinstitutionnelle">
    <w:name w:val="Référence institutionnelle"/>
    <w:basedOn w:val="Normaallaad"/>
    <w:next w:val="Confidentialit"/>
    <w:pPr>
      <w:spacing w:before="0" w:after="240"/>
      <w:ind w:left="5103"/>
      <w:jc w:val="left"/>
    </w:pPr>
  </w:style>
  <w:style w:type="paragraph" w:customStyle="1" w:styleId="Pagedecouverture">
    <w:name w:val="Page de couverture"/>
    <w:basedOn w:val="Normaallaad"/>
    <w:next w:val="Normaallaad"/>
    <w:pPr>
      <w:spacing w:before="0" w:after="0"/>
    </w:pPr>
  </w:style>
  <w:style w:type="paragraph" w:customStyle="1" w:styleId="Declassification">
    <w:name w:val="Declassification"/>
    <w:basedOn w:val="Normaallaad"/>
    <w:next w:val="Normaallaad"/>
    <w:pPr>
      <w:spacing w:before="0" w:after="0"/>
    </w:pPr>
  </w:style>
  <w:style w:type="paragraph" w:customStyle="1" w:styleId="Disclaimer">
    <w:name w:val="Disclaimer"/>
    <w:basedOn w:val="Normaallaad"/>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allaad"/>
    <w:pPr>
      <w:spacing w:before="0" w:after="0" w:line="276" w:lineRule="auto"/>
      <w:ind w:left="5103"/>
      <w:jc w:val="left"/>
    </w:pPr>
    <w:rPr>
      <w:sz w:val="28"/>
    </w:rPr>
  </w:style>
  <w:style w:type="paragraph" w:customStyle="1" w:styleId="DateMarking">
    <w:name w:val="DateMarking"/>
    <w:basedOn w:val="Normaallaad"/>
    <w:pPr>
      <w:spacing w:before="0" w:after="0" w:line="276" w:lineRule="auto"/>
      <w:ind w:left="5103"/>
      <w:jc w:val="left"/>
    </w:pPr>
    <w:rPr>
      <w:i/>
      <w:sz w:val="28"/>
    </w:rPr>
  </w:style>
  <w:style w:type="paragraph" w:customStyle="1" w:styleId="ReleasableTo">
    <w:name w:val="ReleasableTo"/>
    <w:basedOn w:val="Normaallaad"/>
    <w:pPr>
      <w:spacing w:before="0" w:after="0" w:line="276" w:lineRule="auto"/>
      <w:ind w:left="5103"/>
      <w:jc w:val="left"/>
    </w:pPr>
    <w:rPr>
      <w:i/>
      <w:sz w:val="28"/>
    </w:rPr>
  </w:style>
  <w:style w:type="paragraph" w:customStyle="1" w:styleId="Annexetitreexpos">
    <w:name w:val="Annexe titre (exposé)"/>
    <w:basedOn w:val="Normaallaad"/>
    <w:next w:val="Normaallaad"/>
    <w:pPr>
      <w:jc w:val="center"/>
    </w:pPr>
    <w:rPr>
      <w:b/>
      <w:u w:val="single"/>
    </w:rPr>
  </w:style>
  <w:style w:type="paragraph" w:customStyle="1" w:styleId="Annexetitre">
    <w:name w:val="Annexe titre"/>
    <w:basedOn w:val="Normaallaad"/>
    <w:next w:val="Normaallaad"/>
    <w:link w:val="AnnexetitreChar"/>
    <w:pPr>
      <w:jc w:val="center"/>
    </w:pPr>
    <w:rPr>
      <w:b/>
      <w:u w:val="single"/>
    </w:rPr>
  </w:style>
  <w:style w:type="paragraph" w:customStyle="1" w:styleId="Annexetitrefichefinancire">
    <w:name w:val="Annexe titre (fiche financière)"/>
    <w:basedOn w:val="Normaallaad"/>
    <w:next w:val="Normaallaad"/>
    <w:pPr>
      <w:jc w:val="center"/>
    </w:pPr>
    <w:rPr>
      <w:b/>
      <w:u w:val="single"/>
    </w:rPr>
  </w:style>
  <w:style w:type="paragraph" w:customStyle="1" w:styleId="Applicationdirecte">
    <w:name w:val="Application directe"/>
    <w:basedOn w:val="Normaallaad"/>
    <w:next w:val="Fait"/>
    <w:pPr>
      <w:spacing w:before="480"/>
    </w:pPr>
  </w:style>
  <w:style w:type="paragraph" w:customStyle="1" w:styleId="Avertissementtitre">
    <w:name w:val="Avertissement titre"/>
    <w:basedOn w:val="Normaallaad"/>
    <w:next w:val="Normaallaad"/>
    <w:pPr>
      <w:keepNext/>
      <w:spacing w:before="480"/>
    </w:pPr>
    <w:rPr>
      <w:u w:val="single"/>
    </w:rPr>
  </w:style>
  <w:style w:type="paragraph" w:customStyle="1" w:styleId="Confidence">
    <w:name w:val="Confidence"/>
    <w:basedOn w:val="Normaallaad"/>
    <w:next w:val="Normaallaad"/>
    <w:pPr>
      <w:spacing w:before="360"/>
      <w:jc w:val="center"/>
    </w:pPr>
  </w:style>
  <w:style w:type="paragraph" w:customStyle="1" w:styleId="Confidentialit">
    <w:name w:val="Confidentialité"/>
    <w:basedOn w:val="Normaallaad"/>
    <w:next w:val="TypedudocumentPagedecouverture"/>
    <w:pPr>
      <w:spacing w:before="240" w:after="240"/>
      <w:ind w:left="5103"/>
      <w:jc w:val="left"/>
    </w:pPr>
    <w:rPr>
      <w:i/>
      <w:sz w:val="32"/>
    </w:rPr>
  </w:style>
  <w:style w:type="paragraph" w:customStyle="1" w:styleId="Considrant">
    <w:name w:val="Considérant"/>
    <w:basedOn w:val="Normaallaad"/>
    <w:pPr>
      <w:numPr>
        <w:numId w:val="43"/>
      </w:numPr>
    </w:pPr>
  </w:style>
  <w:style w:type="paragraph" w:customStyle="1" w:styleId="Corrigendum">
    <w:name w:val="Corrigendum"/>
    <w:basedOn w:val="Normaallaad"/>
    <w:next w:val="Normaallaad"/>
    <w:pPr>
      <w:spacing w:before="0" w:after="240"/>
      <w:jc w:val="left"/>
    </w:pPr>
  </w:style>
  <w:style w:type="paragraph" w:customStyle="1" w:styleId="Datedadoption">
    <w:name w:val="Date d'adoption"/>
    <w:basedOn w:val="Normaallaad"/>
    <w:next w:val="IntrtEEE"/>
    <w:pPr>
      <w:spacing w:before="360" w:after="0"/>
      <w:jc w:val="center"/>
    </w:pPr>
    <w:rPr>
      <w:b/>
    </w:rPr>
  </w:style>
  <w:style w:type="paragraph" w:customStyle="1" w:styleId="Exposdesmotifstitre">
    <w:name w:val="Exposé des motifs titre"/>
    <w:basedOn w:val="Normaallaad"/>
    <w:next w:val="Normaallaad"/>
    <w:pPr>
      <w:jc w:val="center"/>
    </w:pPr>
    <w:rPr>
      <w:b/>
      <w:u w:val="single"/>
    </w:rPr>
  </w:style>
  <w:style w:type="paragraph" w:customStyle="1" w:styleId="Fait">
    <w:name w:val="Fait à"/>
    <w:basedOn w:val="Normaallaad"/>
    <w:next w:val="Institutionquisigne"/>
    <w:pPr>
      <w:keepNext/>
      <w:spacing w:after="0"/>
    </w:pPr>
  </w:style>
  <w:style w:type="paragraph" w:customStyle="1" w:styleId="Formuledadoption">
    <w:name w:val="Formule d'adoption"/>
    <w:basedOn w:val="Normaallaad"/>
    <w:next w:val="Titrearticle"/>
    <w:pPr>
      <w:keepNext/>
    </w:pPr>
  </w:style>
  <w:style w:type="paragraph" w:customStyle="1" w:styleId="Institutionquiagit">
    <w:name w:val="Institution qui agit"/>
    <w:basedOn w:val="Normaallaad"/>
    <w:next w:val="Normaallaad"/>
    <w:pPr>
      <w:keepNext/>
      <w:spacing w:before="600"/>
    </w:pPr>
  </w:style>
  <w:style w:type="paragraph" w:customStyle="1" w:styleId="Institutionquisigne">
    <w:name w:val="Institution qui signe"/>
    <w:basedOn w:val="Normaallaad"/>
    <w:next w:val="Personnequisigne"/>
    <w:pPr>
      <w:keepNext/>
      <w:tabs>
        <w:tab w:val="left" w:pos="4252"/>
      </w:tabs>
      <w:spacing w:before="720" w:after="0"/>
    </w:pPr>
    <w:rPr>
      <w:i/>
    </w:rPr>
  </w:style>
  <w:style w:type="paragraph" w:customStyle="1" w:styleId="ManualConsidrant">
    <w:name w:val="Manual Considérant"/>
    <w:basedOn w:val="Normaallaad"/>
    <w:pPr>
      <w:ind w:left="709" w:hanging="709"/>
    </w:pPr>
  </w:style>
  <w:style w:type="paragraph" w:customStyle="1" w:styleId="Personnequisigne">
    <w:name w:val="Personne qui signe"/>
    <w:basedOn w:val="Normaallaad"/>
    <w:next w:val="Institutionquisigne"/>
    <w:pPr>
      <w:tabs>
        <w:tab w:val="left" w:pos="4252"/>
      </w:tabs>
      <w:spacing w:before="0" w:after="0"/>
      <w:jc w:val="left"/>
    </w:pPr>
    <w:rPr>
      <w:i/>
    </w:rPr>
  </w:style>
  <w:style w:type="paragraph" w:customStyle="1" w:styleId="Rfrenceinterinstitutionnelle">
    <w:name w:val="Référence interinstitutionnelle"/>
    <w:basedOn w:val="Normaallaad"/>
    <w:next w:val="Statut"/>
    <w:pPr>
      <w:spacing w:before="0" w:after="0"/>
      <w:ind w:left="5103"/>
      <w:jc w:val="left"/>
    </w:pPr>
  </w:style>
  <w:style w:type="paragraph" w:customStyle="1" w:styleId="Rfrenceinterne">
    <w:name w:val="Référence interne"/>
    <w:basedOn w:val="Normaallaad"/>
    <w:next w:val="Rfrenceinterinstitutionnelle"/>
    <w:pPr>
      <w:spacing w:before="0" w:after="0"/>
      <w:ind w:left="5103"/>
      <w:jc w:val="left"/>
    </w:pPr>
  </w:style>
  <w:style w:type="paragraph" w:customStyle="1" w:styleId="Statut">
    <w:name w:val="Statut"/>
    <w:basedOn w:val="Normaallaad"/>
    <w:next w:val="Typedudocument"/>
    <w:pPr>
      <w:spacing w:before="0" w:after="240"/>
      <w:jc w:val="center"/>
    </w:pPr>
  </w:style>
  <w:style w:type="paragraph" w:customStyle="1" w:styleId="Titrearticle">
    <w:name w:val="Titre article"/>
    <w:basedOn w:val="Normaallaad"/>
    <w:next w:val="Normaallaad"/>
    <w:pPr>
      <w:keepNext/>
      <w:spacing w:before="360"/>
      <w:jc w:val="center"/>
    </w:pPr>
    <w:rPr>
      <w:i/>
    </w:rPr>
  </w:style>
  <w:style w:type="paragraph" w:customStyle="1" w:styleId="Typedudocument">
    <w:name w:val="Type du document"/>
    <w:basedOn w:val="Normaallaad"/>
    <w:next w:val="Accompagnant"/>
    <w:pPr>
      <w:spacing w:before="360" w:after="180"/>
      <w:jc w:val="center"/>
    </w:pPr>
    <w:rPr>
      <w:b/>
    </w:rPr>
  </w:style>
  <w:style w:type="character" w:customStyle="1" w:styleId="Added">
    <w:name w:val="Added"/>
    <w:basedOn w:val="Liguvaikefont"/>
    <w:rPr>
      <w:b/>
      <w:u w:val="single"/>
      <w:shd w:val="clear" w:color="auto" w:fill="auto"/>
    </w:rPr>
  </w:style>
  <w:style w:type="character" w:customStyle="1" w:styleId="Deleted">
    <w:name w:val="Deleted"/>
    <w:basedOn w:val="Liguvaikefont"/>
    <w:rPr>
      <w:strike/>
      <w:dstrike w:val="0"/>
      <w:shd w:val="clear" w:color="auto" w:fill="auto"/>
    </w:rPr>
  </w:style>
  <w:style w:type="paragraph" w:customStyle="1" w:styleId="Address">
    <w:name w:val="Address"/>
    <w:basedOn w:val="Normaallaad"/>
    <w:next w:val="Normaallaad"/>
    <w:pPr>
      <w:keepLines/>
      <w:spacing w:line="360" w:lineRule="auto"/>
      <w:ind w:left="3402"/>
      <w:jc w:val="left"/>
    </w:pPr>
  </w:style>
  <w:style w:type="paragraph" w:customStyle="1" w:styleId="Objetexterne">
    <w:name w:val="Objet externe"/>
    <w:basedOn w:val="Normaallaad"/>
    <w:next w:val="Normaallaad"/>
    <w:rPr>
      <w:i/>
      <w:caps/>
    </w:rPr>
  </w:style>
  <w:style w:type="paragraph" w:customStyle="1" w:styleId="Supertitre">
    <w:name w:val="Supertitre"/>
    <w:basedOn w:val="Normaallaad"/>
    <w:next w:val="Normaallaad"/>
    <w:pPr>
      <w:spacing w:before="0" w:after="600"/>
      <w:jc w:val="center"/>
    </w:pPr>
    <w:rPr>
      <w:b/>
    </w:rPr>
  </w:style>
  <w:style w:type="paragraph" w:customStyle="1" w:styleId="Languesfaisantfoi">
    <w:name w:val="Langues faisant foi"/>
    <w:basedOn w:val="Normaallaad"/>
    <w:next w:val="Normaallaad"/>
    <w:pPr>
      <w:spacing w:before="360" w:after="0"/>
      <w:jc w:val="center"/>
    </w:pPr>
  </w:style>
  <w:style w:type="paragraph" w:customStyle="1" w:styleId="Rfrencecroise">
    <w:name w:val="Référence croisée"/>
    <w:basedOn w:val="Normaallaad"/>
    <w:pPr>
      <w:spacing w:before="0" w:after="0"/>
      <w:jc w:val="center"/>
    </w:pPr>
  </w:style>
  <w:style w:type="paragraph" w:customStyle="1" w:styleId="Fichefinanciretitre">
    <w:name w:val="Fiche financière titre"/>
    <w:basedOn w:val="Normaallaad"/>
    <w:next w:val="Normaallaad"/>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allaad"/>
    <w:next w:val="Confidentialit"/>
    <w:pPr>
      <w:spacing w:before="0" w:after="240"/>
      <w:ind w:left="5103"/>
      <w:jc w:val="left"/>
    </w:pPr>
  </w:style>
  <w:style w:type="paragraph" w:customStyle="1" w:styleId="IntrtEEE">
    <w:name w:val="Intérêt EEE"/>
    <w:basedOn w:val="Languesfaisantfoi"/>
    <w:next w:val="Normaallaad"/>
    <w:pPr>
      <w:spacing w:after="240"/>
    </w:pPr>
  </w:style>
  <w:style w:type="paragraph" w:customStyle="1" w:styleId="Accompagnant">
    <w:name w:val="Accompagnant"/>
    <w:basedOn w:val="Normaallaad"/>
    <w:next w:val="Typeacteprincipal"/>
    <w:pPr>
      <w:spacing w:before="180" w:after="240"/>
      <w:jc w:val="center"/>
    </w:pPr>
    <w:rPr>
      <w:b/>
    </w:rPr>
  </w:style>
  <w:style w:type="paragraph" w:customStyle="1" w:styleId="Typeacteprincipal">
    <w:name w:val="Type acte principal"/>
    <w:basedOn w:val="Normaallaad"/>
    <w:next w:val="Objetacteprincipal"/>
    <w:pPr>
      <w:spacing w:before="0" w:after="240"/>
      <w:jc w:val="center"/>
    </w:pPr>
    <w:rPr>
      <w:b/>
    </w:rPr>
  </w:style>
  <w:style w:type="paragraph" w:customStyle="1" w:styleId="Objetacteprincipal">
    <w:name w:val="Objet acte principal"/>
    <w:basedOn w:val="Normaallaad"/>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allaad"/>
    <w:next w:val="Normaallaad"/>
    <w:pPr>
      <w:spacing w:before="360" w:after="0"/>
      <w:jc w:val="center"/>
    </w:pPr>
  </w:style>
  <w:style w:type="paragraph" w:styleId="Pis">
    <w:name w:val="header"/>
    <w:basedOn w:val="Normaallaad"/>
    <w:link w:val="PisMrk"/>
    <w:uiPriority w:val="99"/>
    <w:unhideWhenUsed/>
    <w:rsid w:val="001D0895"/>
    <w:pPr>
      <w:tabs>
        <w:tab w:val="center" w:pos="4535"/>
        <w:tab w:val="right" w:pos="9071"/>
      </w:tabs>
      <w:spacing w:before="0"/>
    </w:pPr>
  </w:style>
  <w:style w:type="paragraph" w:customStyle="1" w:styleId="HeaderLandscape">
    <w:name w:val="HeaderLandscape"/>
    <w:basedOn w:val="Normaallaad"/>
    <w:rsid w:val="001D0895"/>
    <w:pPr>
      <w:tabs>
        <w:tab w:val="center" w:pos="7285"/>
        <w:tab w:val="right" w:pos="14003"/>
      </w:tabs>
      <w:spacing w:before="0"/>
    </w:pPr>
  </w:style>
  <w:style w:type="paragraph" w:styleId="Jalus">
    <w:name w:val="footer"/>
    <w:basedOn w:val="Normaallaad"/>
    <w:link w:val="JalusMrk"/>
    <w:uiPriority w:val="99"/>
    <w:unhideWhenUsed/>
    <w:rsid w:val="001D0895"/>
    <w:pPr>
      <w:tabs>
        <w:tab w:val="center" w:pos="4535"/>
        <w:tab w:val="right" w:pos="9071"/>
        <w:tab w:val="right" w:pos="9921"/>
      </w:tabs>
      <w:spacing w:before="360" w:after="0"/>
      <w:ind w:left="-850" w:right="-850"/>
      <w:jc w:val="left"/>
    </w:pPr>
  </w:style>
  <w:style w:type="paragraph" w:customStyle="1" w:styleId="FooterLandscape">
    <w:name w:val="FooterLandscape"/>
    <w:basedOn w:val="Normaallaad"/>
    <w:rsid w:val="001D0895"/>
    <w:pPr>
      <w:tabs>
        <w:tab w:val="center" w:pos="7285"/>
        <w:tab w:val="center" w:pos="10913"/>
        <w:tab w:val="right" w:pos="15137"/>
      </w:tabs>
      <w:spacing w:before="360" w:after="0"/>
      <w:ind w:left="-567" w:right="-567"/>
      <w:jc w:val="left"/>
    </w:pPr>
  </w:style>
  <w:style w:type="paragraph" w:customStyle="1" w:styleId="TechnicalBlock">
    <w:name w:val="Technical Block"/>
    <w:basedOn w:val="Annexetitre"/>
    <w:link w:val="TechnicalBlockChar"/>
    <w:rsid w:val="00FB374E"/>
    <w:pPr>
      <w:spacing w:before="0" w:after="240"/>
    </w:pPr>
    <w:rPr>
      <w:noProof/>
    </w:rPr>
  </w:style>
  <w:style w:type="character" w:customStyle="1" w:styleId="AnnexetitreChar">
    <w:name w:val="Annexe titre Char"/>
    <w:basedOn w:val="Liguvaikefont"/>
    <w:link w:val="Annexetitre"/>
    <w:rsid w:val="00FB374E"/>
    <w:rPr>
      <w:rFonts w:ascii="Times New Roman" w:hAnsi="Times New Roman" w:cs="Times New Roman"/>
      <w:b/>
      <w:sz w:val="24"/>
      <w:u w:val="single"/>
      <w:lang w:val="en-GB"/>
    </w:rPr>
  </w:style>
  <w:style w:type="character" w:customStyle="1" w:styleId="TechnicalBlockChar">
    <w:name w:val="Technical Block Char"/>
    <w:basedOn w:val="AnnexetitreChar"/>
    <w:link w:val="TechnicalBlock"/>
    <w:rsid w:val="00FB374E"/>
    <w:rPr>
      <w:rFonts w:ascii="Times New Roman" w:hAnsi="Times New Roman" w:cs="Times New Roman"/>
      <w:b/>
      <w:noProof/>
      <w:sz w:val="24"/>
      <w:u w:val="single"/>
      <w:lang w:val="en-GB"/>
    </w:rPr>
  </w:style>
  <w:style w:type="paragraph" w:customStyle="1" w:styleId="pj">
    <w:name w:val="p.j."/>
    <w:basedOn w:val="Normaallaad"/>
    <w:link w:val="pjChar"/>
    <w:rsid w:val="00FB374E"/>
    <w:pPr>
      <w:spacing w:before="1200"/>
      <w:ind w:left="1440" w:hanging="1440"/>
      <w:jc w:val="left"/>
    </w:pPr>
  </w:style>
  <w:style w:type="character" w:customStyle="1" w:styleId="pjChar">
    <w:name w:val="p.j. Char"/>
    <w:basedOn w:val="AnnexetitreChar"/>
    <w:link w:val="pj"/>
    <w:rsid w:val="00FB374E"/>
    <w:rPr>
      <w:rFonts w:ascii="Times New Roman" w:hAnsi="Times New Roman" w:cs="Times New Roman"/>
      <w:b w:val="0"/>
      <w:sz w:val="24"/>
      <w:u w:val="single"/>
      <w:lang w:val="en-GB"/>
    </w:rPr>
  </w:style>
  <w:style w:type="paragraph" w:customStyle="1" w:styleId="nbbordered">
    <w:name w:val="nb bordered"/>
    <w:basedOn w:val="Normaallaad"/>
    <w:link w:val="nbborderedChar"/>
    <w:rsid w:val="00FB374E"/>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AnnexetitreChar"/>
    <w:link w:val="nbbordered"/>
    <w:rsid w:val="00FB374E"/>
    <w:rPr>
      <w:rFonts w:ascii="Times New Roman" w:hAnsi="Times New Roman" w:cs="Times New Roman"/>
      <w:b/>
      <w:sz w:val="24"/>
      <w:u w:val="single"/>
      <w:lang w:val="en-GB"/>
    </w:rPr>
  </w:style>
  <w:style w:type="paragraph" w:customStyle="1" w:styleId="HeaderCouncil">
    <w:name w:val="Header Council"/>
    <w:basedOn w:val="Normaallaad"/>
    <w:link w:val="HeaderCouncilChar"/>
    <w:rsid w:val="00FB374E"/>
    <w:pPr>
      <w:spacing w:before="0" w:after="0"/>
    </w:pPr>
    <w:rPr>
      <w:noProof/>
      <w:sz w:val="2"/>
    </w:rPr>
  </w:style>
  <w:style w:type="character" w:customStyle="1" w:styleId="HeaderCouncilChar">
    <w:name w:val="Header Council Char"/>
    <w:basedOn w:val="Liguvaikefont"/>
    <w:link w:val="HeaderCouncil"/>
    <w:rsid w:val="00FB374E"/>
    <w:rPr>
      <w:rFonts w:ascii="Times New Roman" w:hAnsi="Times New Roman" w:cs="Times New Roman"/>
      <w:noProof/>
      <w:sz w:val="2"/>
      <w:lang w:val="en-GB"/>
    </w:rPr>
  </w:style>
  <w:style w:type="paragraph" w:customStyle="1" w:styleId="HeaderCouncilLarge">
    <w:name w:val="Header Council Large"/>
    <w:basedOn w:val="Normaallaad"/>
    <w:link w:val="HeaderCouncilLargeChar"/>
    <w:rsid w:val="00FB374E"/>
    <w:pPr>
      <w:spacing w:before="0" w:after="440"/>
    </w:pPr>
    <w:rPr>
      <w:noProof/>
      <w:sz w:val="2"/>
    </w:rPr>
  </w:style>
  <w:style w:type="character" w:customStyle="1" w:styleId="HeaderCouncilLargeChar">
    <w:name w:val="Header Council Large Char"/>
    <w:basedOn w:val="Liguvaikefont"/>
    <w:link w:val="HeaderCouncilLarge"/>
    <w:rsid w:val="00FB374E"/>
    <w:rPr>
      <w:rFonts w:ascii="Times New Roman" w:hAnsi="Times New Roman" w:cs="Times New Roman"/>
      <w:noProof/>
      <w:sz w:val="2"/>
      <w:lang w:val="en-GB"/>
    </w:rPr>
  </w:style>
  <w:style w:type="paragraph" w:customStyle="1" w:styleId="FooterCouncil">
    <w:name w:val="Footer Council"/>
    <w:basedOn w:val="Normaallaad"/>
    <w:link w:val="FooterCouncilChar"/>
    <w:rsid w:val="00FB374E"/>
    <w:pPr>
      <w:spacing w:before="0" w:after="0"/>
    </w:pPr>
    <w:rPr>
      <w:noProof/>
      <w:sz w:val="2"/>
    </w:rPr>
  </w:style>
  <w:style w:type="character" w:customStyle="1" w:styleId="FooterCouncilChar">
    <w:name w:val="Footer Council Char"/>
    <w:basedOn w:val="Liguvaikefont"/>
    <w:link w:val="FooterCouncil"/>
    <w:rsid w:val="00FB374E"/>
    <w:rPr>
      <w:rFonts w:ascii="Times New Roman" w:hAnsi="Times New Roman" w:cs="Times New Roman"/>
      <w:noProof/>
      <w:sz w:val="2"/>
      <w:lang w:val="en-GB"/>
    </w:rPr>
  </w:style>
  <w:style w:type="paragraph" w:customStyle="1" w:styleId="FooterText">
    <w:name w:val="Footer Text"/>
    <w:basedOn w:val="Normaallaad"/>
    <w:rsid w:val="00FB374E"/>
    <w:pPr>
      <w:spacing w:before="0" w:after="0"/>
      <w:jc w:val="left"/>
    </w:pPr>
    <w:rPr>
      <w:rFonts w:eastAsia="Times New Roman"/>
      <w:szCs w:val="24"/>
    </w:rPr>
  </w:style>
  <w:style w:type="character" w:styleId="Kohatitetekst">
    <w:name w:val="Placeholder Text"/>
    <w:basedOn w:val="Liguvaikefont"/>
    <w:uiPriority w:val="99"/>
    <w:semiHidden/>
    <w:rsid w:val="00FB374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ducation.ec.europa.eu/education-levels/higher-education/european-universities-initiative" TargetMode="External"/><Relationship Id="rId2" Type="http://schemas.openxmlformats.org/officeDocument/2006/relationships/hyperlink" Target="https://europa.eu/europass/en/learn-europe/diploma-supplement" TargetMode="External"/><Relationship Id="rId1" Type="http://schemas.openxmlformats.org/officeDocument/2006/relationships/hyperlink" Target="https://ehea.info/media.ehea.info/file/2015_Yerevan/72/7/European_Standards_and_Guidelines_for_Quality_Assurance_in_the_EHEA_2015_MC_613727.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86418-EF48-4B98-87A3-C38EC77FC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0</TotalTime>
  <Pages>9</Pages>
  <Words>2206</Words>
  <Characters>12800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2024-04-08T06:04:00Z</dcterms:created>
  <dcterms:modified xsi:type="dcterms:W3CDTF">2024-04-08T06:04:00Z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2024-03-07T09:56:15Z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6c6de9b5-9186-4fc0-aa64-557b4469592d</vt:lpwstr>
  </property>
  <property fmtid="{D5CDD505-2E9C-101B-9397-08002B2CF9AE}" pid="8" name="MSIP_Label_6bd9ddd1-4d20-43f6-abfa-fc3c07406f94_ContentBits">
    <vt:lpwstr>0</vt:lpwstr>
  </property>
  <property fmtid="{D5CDD505-2E9C-101B-9397-08002B2CF9AE}" pid="9" name="Level of sensitivity">
    <vt:lpwstr>Standard treatment</vt:lpwstr>
  </property>
  <property fmtid="{D5CDD505-2E9C-101B-9397-08002B2CF9AE}" pid="10" name="Category">
    <vt:lpwstr>COM/ANNEX</vt:lpwstr>
  </property>
  <property fmtid="{D5CDD505-2E9C-101B-9397-08002B2CF9AE}" pid="11" name="Last edited using">
    <vt:lpwstr>DocuWrite 4.8.5, Build 20230921</vt:lpwstr>
  </property>
  <property fmtid="{D5CDD505-2E9C-101B-9397-08002B2CF9AE}" pid="12" name="First annex">
    <vt:lpwstr>1</vt:lpwstr>
  </property>
  <property fmtid="{D5CDD505-2E9C-101B-9397-08002B2CF9AE}" pid="13" name="Last annex">
    <vt:lpwstr>3</vt:lpwstr>
  </property>
  <property fmtid="{D5CDD505-2E9C-101B-9397-08002B2CF9AE}" pid="14" name="Unique annex">
    <vt:lpwstr>0</vt:lpwstr>
  </property>
  <property fmtid="{D5CDD505-2E9C-101B-9397-08002B2CF9AE}" pid="15" name="Part">
    <vt:lpwstr>&lt;UNUSED&gt;</vt:lpwstr>
  </property>
  <property fmtid="{D5CDD505-2E9C-101B-9397-08002B2CF9AE}" pid="16" name="Total parts">
    <vt:lpwstr>&lt;UNUSED&gt;</vt:lpwstr>
  </property>
  <property fmtid="{D5CDD505-2E9C-101B-9397-08002B2CF9AE}" pid="17" name="LWTemplateID">
    <vt:lpwstr>SG-017</vt:lpwstr>
  </property>
  <property fmtid="{D5CDD505-2E9C-101B-9397-08002B2CF9AE}" pid="18" name="DQCStatus">
    <vt:lpwstr>Yellow (DQC version 03)</vt:lpwstr>
  </property>
  <property fmtid="{D5CDD505-2E9C-101B-9397-08002B2CF9AE}" pid="19" name="Created using">
    <vt:lpwstr>DocuWrite 4.8.5, Build 20230921</vt:lpwstr>
  </property>
  <property fmtid="{D5CDD505-2E9C-101B-9397-08002B2CF9AE}" pid="20" name="MSIP_Label_b1df41d6-74a9-4a97-809c-213cd32520cc_Enabled">
    <vt:lpwstr>true</vt:lpwstr>
  </property>
  <property fmtid="{D5CDD505-2E9C-101B-9397-08002B2CF9AE}" pid="21" name="MSIP_Label_b1df41d6-74a9-4a97-809c-213cd32520cc_SetDate">
    <vt:lpwstr>2024-04-03T16:42:02Z</vt:lpwstr>
  </property>
  <property fmtid="{D5CDD505-2E9C-101B-9397-08002B2CF9AE}" pid="22" name="MSIP_Label_b1df41d6-74a9-4a97-809c-213cd32520cc_Method">
    <vt:lpwstr>Privileged</vt:lpwstr>
  </property>
  <property fmtid="{D5CDD505-2E9C-101B-9397-08002B2CF9AE}" pid="23" name="MSIP_Label_b1df41d6-74a9-4a97-809c-213cd32520cc_Name">
    <vt:lpwstr>GSCEU - NON PUBLIC Label</vt:lpwstr>
  </property>
  <property fmtid="{D5CDD505-2E9C-101B-9397-08002B2CF9AE}" pid="24" name="MSIP_Label_b1df41d6-74a9-4a97-809c-213cd32520cc_SiteId">
    <vt:lpwstr>03ad1c97-0a4d-4e82-8f93-27291a6a0767</vt:lpwstr>
  </property>
  <property fmtid="{D5CDD505-2E9C-101B-9397-08002B2CF9AE}" pid="25" name="MSIP_Label_b1df41d6-74a9-4a97-809c-213cd32520cc_ActionId">
    <vt:lpwstr>d90284f2-eeb2-4a45-b69c-d97cc4e11c0a</vt:lpwstr>
  </property>
  <property fmtid="{D5CDD505-2E9C-101B-9397-08002B2CF9AE}" pid="26" name="MSIP_Label_b1df41d6-74a9-4a97-809c-213cd32520cc_ContentBits">
    <vt:lpwstr>0</vt:lpwstr>
  </property>
</Properties>
</file>